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510"/>
      </w:tblGrid>
      <w:tr w:rsidR="00790553" w:rsidRPr="00E11D7C" w14:paraId="22027120" w14:textId="77777777" w:rsidTr="00903F75">
        <w:trPr>
          <w:trHeight w:val="333"/>
          <w:jc w:val="center"/>
        </w:trPr>
        <w:tc>
          <w:tcPr>
            <w:tcW w:w="99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52891" w14:textId="77777777" w:rsidR="004C56B8" w:rsidRDefault="00325BD4" w:rsidP="004C56B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4"/>
                <w:szCs w:val="34"/>
              </w:rPr>
            </w:pPr>
            <w:r w:rsidRPr="00BE2D47">
              <w:rPr>
                <w:rFonts w:ascii="Times New Roman" w:eastAsia="標楷體" w:hAnsi="Times New Roman" w:cs="Times New Roman" w:hint="eastAsia"/>
                <w:sz w:val="34"/>
                <w:szCs w:val="34"/>
              </w:rPr>
              <w:t>M</w:t>
            </w:r>
            <w:r w:rsidR="00FE07CD" w:rsidRPr="00BE2D47">
              <w:rPr>
                <w:rFonts w:ascii="Times New Roman" w:eastAsia="標楷體" w:hAnsi="Times New Roman" w:cs="Times New Roman"/>
                <w:sz w:val="34"/>
                <w:szCs w:val="34"/>
              </w:rPr>
              <w:t>etronidazole</w:t>
            </w:r>
            <w:r w:rsidRPr="00BE2D47">
              <w:rPr>
                <w:rFonts w:ascii="Times New Roman" w:eastAsia="標楷體" w:hAnsi="Times New Roman" w:cs="Times New Roman" w:hint="eastAsia"/>
                <w:sz w:val="34"/>
                <w:szCs w:val="34"/>
              </w:rPr>
              <w:t>及</w:t>
            </w:r>
            <w:r w:rsidR="00FE07CD" w:rsidRPr="00BE2D47">
              <w:rPr>
                <w:rFonts w:ascii="Times New Roman" w:eastAsia="標楷體" w:hAnsi="Times New Roman" w:cs="Times New Roman" w:hint="eastAsia"/>
                <w:sz w:val="34"/>
                <w:szCs w:val="34"/>
              </w:rPr>
              <w:t>其他</w:t>
            </w:r>
            <w:r w:rsidR="00FE07CD" w:rsidRPr="00BE2D47">
              <w:rPr>
                <w:rFonts w:ascii="Times New Roman" w:eastAsia="標楷體" w:hAnsi="Times New Roman" w:cs="Times New Roman"/>
                <w:sz w:val="34"/>
                <w:szCs w:val="34"/>
              </w:rPr>
              <w:t>nitroimidazole</w:t>
            </w:r>
            <w:r w:rsidR="00FE07CD" w:rsidRPr="00BE2D47">
              <w:rPr>
                <w:rFonts w:ascii="Times New Roman" w:eastAsia="標楷體" w:hAnsi="Times New Roman" w:cs="Times New Roman" w:hint="eastAsia"/>
                <w:sz w:val="34"/>
                <w:szCs w:val="34"/>
              </w:rPr>
              <w:t>類</w:t>
            </w:r>
            <w:r w:rsidR="00B369F4" w:rsidRPr="00BE2D47">
              <w:rPr>
                <w:rFonts w:ascii="Times New Roman" w:eastAsia="標楷體" w:hAnsi="Times New Roman" w:cs="Times New Roman" w:hint="eastAsia"/>
                <w:sz w:val="34"/>
                <w:szCs w:val="34"/>
              </w:rPr>
              <w:t>成分藥品</w:t>
            </w:r>
          </w:p>
          <w:p w14:paraId="2A308246" w14:textId="47E3223C" w:rsidR="00790553" w:rsidRPr="00BE2D47" w:rsidRDefault="00790553" w:rsidP="004C56B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4"/>
                <w:szCs w:val="34"/>
              </w:rPr>
            </w:pPr>
            <w:r w:rsidRPr="00BE2D47">
              <w:rPr>
                <w:rFonts w:ascii="Times New Roman" w:eastAsia="標楷體" w:hAnsi="Times New Roman" w:cs="Times New Roman"/>
                <w:sz w:val="34"/>
                <w:szCs w:val="34"/>
              </w:rPr>
              <w:t>安全資訊風險溝通表</w:t>
            </w:r>
          </w:p>
        </w:tc>
      </w:tr>
      <w:tr w:rsidR="00790553" w:rsidRPr="00E11D7C" w14:paraId="5E9419F4" w14:textId="77777777" w:rsidTr="00903F75">
        <w:trPr>
          <w:trHeight w:val="333"/>
          <w:jc w:val="center"/>
        </w:trPr>
        <w:tc>
          <w:tcPr>
            <w:tcW w:w="9923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BAAD38" w14:textId="56FE6E46" w:rsidR="00790553" w:rsidRPr="0055010F" w:rsidRDefault="00790553" w:rsidP="007159F2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5010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製表日期：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E02AF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FE07CD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12</w:t>
            </w:r>
          </w:p>
        </w:tc>
      </w:tr>
      <w:tr w:rsidR="00790553" w:rsidRPr="00E11D7C" w14:paraId="2AF2FF2C" w14:textId="77777777" w:rsidTr="00903F75">
        <w:trPr>
          <w:trHeight w:val="333"/>
          <w:jc w:val="center"/>
        </w:trPr>
        <w:tc>
          <w:tcPr>
            <w:tcW w:w="2413" w:type="dxa"/>
            <w:vAlign w:val="center"/>
          </w:tcPr>
          <w:p w14:paraId="72B492F5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510" w:type="dxa"/>
          </w:tcPr>
          <w:p w14:paraId="1476C1BC" w14:textId="57579602" w:rsidR="00790553" w:rsidRPr="000D7623" w:rsidRDefault="00B636FB" w:rsidP="00671905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N</w:t>
            </w:r>
            <w:r w:rsidR="0008633A" w:rsidRPr="000D762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itroimidazole</w:t>
            </w:r>
            <w:r w:rsidR="0008633A" w:rsidRPr="000D762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類成分藥品</w:t>
            </w:r>
            <w:r w:rsidR="0093324D" w:rsidRPr="000D762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（</w:t>
            </w:r>
            <w:r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包含</w:t>
            </w:r>
            <w:r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m</w:t>
            </w:r>
            <w:r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etronidazol</w:t>
            </w:r>
            <w:r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e</w:t>
            </w:r>
            <w:r w:rsidRPr="00B636F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、</w:t>
            </w:r>
            <w:r w:rsidR="0008633A" w:rsidRPr="000D762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tinidazole</w:t>
            </w:r>
            <w:r w:rsidR="001E1E79" w:rsidRPr="000D762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等</w:t>
            </w:r>
            <w:r w:rsidR="000D7623" w:rsidRPr="000D762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）</w:t>
            </w:r>
            <w:r w:rsidR="001E1E79" w:rsidRPr="000D7623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。</w:t>
            </w:r>
          </w:p>
        </w:tc>
      </w:tr>
      <w:tr w:rsidR="00790553" w:rsidRPr="00E11D7C" w14:paraId="334DBD51" w14:textId="77777777" w:rsidTr="00903F75">
        <w:trPr>
          <w:trHeight w:val="333"/>
          <w:jc w:val="center"/>
        </w:trPr>
        <w:tc>
          <w:tcPr>
            <w:tcW w:w="2413" w:type="dxa"/>
            <w:vAlign w:val="center"/>
          </w:tcPr>
          <w:p w14:paraId="47340577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藥品名稱</w:t>
            </w:r>
          </w:p>
          <w:p w14:paraId="31C26ED6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E11D7C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510" w:type="dxa"/>
          </w:tcPr>
          <w:p w14:paraId="0B22E1F6" w14:textId="2DFC225F" w:rsidR="00790553" w:rsidRPr="00E50FD2" w:rsidRDefault="00790553" w:rsidP="00671905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E50FD2">
              <w:rPr>
                <w:rFonts w:ascii="Times New Roman" w:eastAsia="標楷體" w:hAnsi="Times New Roman"/>
                <w:color w:val="000000" w:themeColor="text1"/>
                <w:szCs w:val="24"/>
              </w:rPr>
              <w:t>衛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生福利部核准</w:t>
            </w:r>
            <w:r w:rsidR="003B37CC">
              <w:rPr>
                <w:rFonts w:ascii="Times New Roman" w:eastAsia="標楷體" w:hAnsi="Times New Roman" w:hint="eastAsia"/>
                <w:szCs w:val="24"/>
              </w:rPr>
              <w:t>ni</w:t>
            </w:r>
            <w:r w:rsidR="003B37CC" w:rsidRPr="000D7623">
              <w:rPr>
                <w:rFonts w:ascii="Times New Roman" w:eastAsia="標楷體" w:hAnsi="Times New Roman"/>
                <w:szCs w:val="24"/>
              </w:rPr>
              <w:t>troimidazole</w:t>
            </w:r>
            <w:r w:rsidR="003B37CC" w:rsidRPr="000D7623">
              <w:rPr>
                <w:rFonts w:ascii="Times New Roman" w:eastAsia="標楷體" w:hAnsi="Times New Roman"/>
                <w:szCs w:val="24"/>
              </w:rPr>
              <w:t>類成分藥品</w:t>
            </w:r>
            <w:r w:rsidR="003B37CC" w:rsidRPr="00E50FD2">
              <w:rPr>
                <w:rFonts w:ascii="Times New Roman" w:eastAsia="標楷體" w:hAnsi="Times New Roman"/>
                <w:kern w:val="0"/>
                <w:szCs w:val="24"/>
              </w:rPr>
              <w:t>許可證共</w:t>
            </w:r>
            <w:r w:rsidR="003B37CC">
              <w:rPr>
                <w:rFonts w:ascii="Times New Roman" w:eastAsia="標楷體" w:hAnsi="Times New Roman" w:hint="eastAsia"/>
                <w:kern w:val="0"/>
                <w:szCs w:val="24"/>
              </w:rPr>
              <w:t>85</w:t>
            </w:r>
            <w:r w:rsidR="003B37CC" w:rsidRPr="00E50FD2">
              <w:rPr>
                <w:rFonts w:ascii="Times New Roman" w:eastAsia="標楷體" w:hAnsi="Times New Roman"/>
                <w:kern w:val="0"/>
                <w:szCs w:val="24"/>
              </w:rPr>
              <w:t>張</w:t>
            </w:r>
            <w:r w:rsidR="003B37CC"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（</w:t>
            </w:r>
            <w:r w:rsidR="0008633A" w:rsidRPr="0008633A">
              <w:rPr>
                <w:rFonts w:ascii="Times New Roman" w:eastAsia="標楷體" w:hAnsi="Times New Roman"/>
                <w:kern w:val="0"/>
                <w:szCs w:val="24"/>
              </w:rPr>
              <w:t>metronidazole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共</w:t>
            </w:r>
            <w:r w:rsidR="0008633A">
              <w:rPr>
                <w:rFonts w:ascii="Times New Roman" w:eastAsia="標楷體" w:hAnsi="Times New Roman" w:hint="eastAsia"/>
                <w:kern w:val="0"/>
                <w:szCs w:val="24"/>
              </w:rPr>
              <w:t>6</w:t>
            </w:r>
            <w:r w:rsidR="00570F42">
              <w:rPr>
                <w:rFonts w:ascii="Times New Roman" w:eastAsia="標楷體" w:hAnsi="Times New Roman" w:hint="eastAsia"/>
                <w:kern w:val="0"/>
                <w:szCs w:val="24"/>
              </w:rPr>
              <w:t>5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張</w:t>
            </w:r>
            <w:r w:rsidR="003B37CC" w:rsidRPr="003B37CC">
              <w:rPr>
                <w:rFonts w:ascii="Times New Roman" w:eastAsia="標楷體" w:hAnsi="Times New Roman" w:hint="eastAsia"/>
                <w:kern w:val="0"/>
                <w:szCs w:val="24"/>
              </w:rPr>
              <w:t>、</w:t>
            </w:r>
            <w:r w:rsidR="000E67D8" w:rsidRPr="000E67D8">
              <w:rPr>
                <w:rFonts w:ascii="Times New Roman" w:eastAsia="標楷體" w:hAnsi="Times New Roman"/>
                <w:kern w:val="0"/>
                <w:szCs w:val="24"/>
              </w:rPr>
              <w:t>tinidazole</w:t>
            </w:r>
            <w:r w:rsidR="0008633A" w:rsidRPr="00E50FD2">
              <w:rPr>
                <w:rFonts w:ascii="Times New Roman" w:eastAsia="標楷體" w:hAnsi="Times New Roman"/>
                <w:kern w:val="0"/>
                <w:szCs w:val="24"/>
              </w:rPr>
              <w:t>共</w:t>
            </w:r>
            <w:r w:rsidR="0008633A">
              <w:rPr>
                <w:rFonts w:ascii="Times New Roman" w:eastAsia="標楷體" w:hAnsi="Times New Roman" w:hint="eastAsia"/>
                <w:kern w:val="0"/>
                <w:szCs w:val="24"/>
              </w:rPr>
              <w:t>20</w:t>
            </w:r>
            <w:r w:rsidR="0008633A" w:rsidRPr="00E50FD2">
              <w:rPr>
                <w:rFonts w:ascii="Times New Roman" w:eastAsia="標楷體" w:hAnsi="Times New Roman"/>
                <w:kern w:val="0"/>
                <w:szCs w:val="24"/>
              </w:rPr>
              <w:t>張</w:t>
            </w:r>
            <w:r w:rsidR="003B37CC" w:rsidRPr="003B37CC">
              <w:rPr>
                <w:rFonts w:ascii="Times New Roman" w:eastAsia="標楷體" w:hAnsi="Times New Roman" w:hint="eastAsia"/>
                <w:kern w:val="0"/>
                <w:szCs w:val="24"/>
              </w:rPr>
              <w:t>）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54434227" w14:textId="609979EE" w:rsidR="00790553" w:rsidRPr="00E50FD2" w:rsidRDefault="00790553" w:rsidP="00671905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szCs w:val="24"/>
              </w:rPr>
            </w:pP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查詢網址：</w:t>
            </w:r>
            <w:r w:rsidR="001170E2">
              <w:fldChar w:fldCharType="begin"/>
            </w:r>
            <w:r w:rsidR="001170E2">
              <w:instrText xml:space="preserve"> HYPERLINK "https://lmspiq.fda.gov.tw/web/DRPIQ/DRPIQLicSearch" </w:instrText>
            </w:r>
            <w:r w:rsidR="001170E2">
              <w:fldChar w:fldCharType="separate"/>
            </w:r>
            <w:r w:rsidR="00E50FD2" w:rsidRPr="00E50FD2">
              <w:rPr>
                <w:rStyle w:val="a4"/>
                <w:rFonts w:ascii="Times New Roman" w:eastAsia="標楷體" w:hAnsi="Times New Roman"/>
              </w:rPr>
              <w:t>https://lmspiq.fda.gov.tw/web/DRPIQ/DRPIQLicSearch</w:t>
            </w:r>
            <w:r w:rsidR="001170E2">
              <w:rPr>
                <w:rStyle w:val="a4"/>
                <w:rFonts w:ascii="Times New Roman" w:eastAsia="標楷體" w:hAnsi="Times New Roman"/>
              </w:rPr>
              <w:fldChar w:fldCharType="end"/>
            </w:r>
            <w:r w:rsidR="00E50FD2" w:rsidRPr="00E50FD2">
              <w:rPr>
                <w:rFonts w:ascii="Times New Roman" w:eastAsia="標楷體" w:hAnsi="Times New Roman"/>
              </w:rPr>
              <w:t xml:space="preserve"> </w:t>
            </w:r>
          </w:p>
        </w:tc>
      </w:tr>
      <w:tr w:rsidR="00790553" w:rsidRPr="00E11D7C" w14:paraId="5C95867A" w14:textId="77777777" w:rsidTr="00903F75">
        <w:trPr>
          <w:trHeight w:val="333"/>
          <w:jc w:val="center"/>
        </w:trPr>
        <w:tc>
          <w:tcPr>
            <w:tcW w:w="2413" w:type="dxa"/>
            <w:vAlign w:val="center"/>
          </w:tcPr>
          <w:p w14:paraId="48649C86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510" w:type="dxa"/>
          </w:tcPr>
          <w:p w14:paraId="074693B8" w14:textId="01D388E4" w:rsidR="00913A45" w:rsidRDefault="00FA62AB" w:rsidP="00600C8B">
            <w:pPr>
              <w:pStyle w:val="a3"/>
              <w:numPr>
                <w:ilvl w:val="0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E10238">
              <w:rPr>
                <w:rFonts w:ascii="Times New Roman" w:eastAsia="標楷體" w:hAnsi="Times New Roman"/>
                <w:color w:val="000000" w:themeColor="text1"/>
                <w:szCs w:val="24"/>
              </w:rPr>
              <w:t>metronidazole</w:t>
            </w:r>
            <w:proofErr w:type="gramStart"/>
            <w:r w:rsidR="00683E1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各劑型</w:t>
            </w:r>
            <w:proofErr w:type="gramEnd"/>
            <w:r w:rsidR="00683E1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之適應症</w:t>
            </w:r>
            <w:r w:rsidR="004C56B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如下：</w:t>
            </w:r>
          </w:p>
          <w:p w14:paraId="0E70402E" w14:textId="1B44635A" w:rsidR="00574523" w:rsidRPr="008950C2" w:rsidRDefault="00574523" w:rsidP="008950C2">
            <w:pPr>
              <w:pStyle w:val="a3"/>
              <w:numPr>
                <w:ilvl w:val="1"/>
                <w:numId w:val="10"/>
              </w:numPr>
              <w:ind w:leftChars="0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注射劑型：</w:t>
            </w:r>
            <w:proofErr w:type="gramStart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厭氧性菌</w:t>
            </w:r>
            <w:proofErr w:type="gramEnd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引起之感染症</w:t>
            </w:r>
            <w:r w:rsidR="008950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</w:t>
            </w:r>
            <w:r w:rsidRPr="008950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4FCF75B5" w14:textId="77777777" w:rsidR="00574523" w:rsidRPr="00574523" w:rsidRDefault="00574523" w:rsidP="00574523">
            <w:pPr>
              <w:pStyle w:val="a3"/>
              <w:numPr>
                <w:ilvl w:val="1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gramStart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錠劑</w:t>
            </w:r>
            <w:proofErr w:type="gramEnd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、膠囊劑型：「治療陰道滴蟲所引起之陰道炎、白帶、阿米巴痢疾、阿米巴肝膿腫及對</w:t>
            </w:r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METRONIDAZOLE</w:t>
            </w:r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具有感受性之</w:t>
            </w:r>
            <w:proofErr w:type="gramStart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厭氣菌所</w:t>
            </w:r>
            <w:proofErr w:type="gramEnd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引起之嚴重感染」。</w:t>
            </w:r>
          </w:p>
          <w:p w14:paraId="64E39078" w14:textId="77777777" w:rsidR="00574523" w:rsidRPr="00574523" w:rsidRDefault="00574523" w:rsidP="00574523">
            <w:pPr>
              <w:pStyle w:val="a3"/>
              <w:numPr>
                <w:ilvl w:val="1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proofErr w:type="gramStart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凝膠劑型</w:t>
            </w:r>
            <w:proofErr w:type="gramEnd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：「因酒渣鼻引起發炎性丘疹、膿疱及紅腫」、「治療細菌陰道炎」。</w:t>
            </w:r>
          </w:p>
          <w:p w14:paraId="0602416C" w14:textId="2AD49E99" w:rsidR="004C56B8" w:rsidRPr="00574523" w:rsidRDefault="00574523" w:rsidP="00574523">
            <w:pPr>
              <w:pStyle w:val="a3"/>
              <w:numPr>
                <w:ilvl w:val="1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栓劑</w:t>
            </w:r>
            <w:proofErr w:type="gramStart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劑</w:t>
            </w:r>
            <w:proofErr w:type="gramEnd"/>
            <w:r w:rsidRP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型：陰道滴蟲感染所引起之陰道炎</w:t>
            </w:r>
            <w:r w:rsidR="008950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等。</w:t>
            </w:r>
          </w:p>
          <w:p w14:paraId="3EA36389" w14:textId="011CFC86" w:rsidR="00574523" w:rsidRDefault="00FA62AB" w:rsidP="005A5186">
            <w:pPr>
              <w:pStyle w:val="a3"/>
              <w:numPr>
                <w:ilvl w:val="0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bookmarkStart w:id="0" w:name="_Hlk187398763"/>
            <w:r w:rsidRPr="00E10238">
              <w:rPr>
                <w:rFonts w:ascii="Times New Roman" w:eastAsia="標楷體" w:hAnsi="Times New Roman"/>
                <w:color w:val="000000" w:themeColor="text1"/>
                <w:szCs w:val="24"/>
              </w:rPr>
              <w:t>tinidazole</w:t>
            </w:r>
            <w:bookmarkEnd w:id="0"/>
            <w:proofErr w:type="gramStart"/>
            <w:r w:rsid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各劑型</w:t>
            </w:r>
            <w:proofErr w:type="gramEnd"/>
            <w:r w:rsid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之適應症如下</w:t>
            </w:r>
            <w:r w:rsidRPr="00E10238">
              <w:rPr>
                <w:rFonts w:ascii="Times New Roman" w:eastAsia="標楷體" w:hAnsi="Times New Roman"/>
                <w:color w:val="000000" w:themeColor="text1"/>
                <w:szCs w:val="24"/>
              </w:rPr>
              <w:t>：</w:t>
            </w:r>
          </w:p>
          <w:p w14:paraId="42CCE275" w14:textId="77777777" w:rsidR="008950C2" w:rsidRDefault="001E1A82" w:rsidP="008950C2">
            <w:pPr>
              <w:pStyle w:val="a3"/>
              <w:numPr>
                <w:ilvl w:val="1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bookmarkStart w:id="1" w:name="_Hlk187398779"/>
            <w:proofErr w:type="gramStart"/>
            <w:r w:rsidRPr="00E10238">
              <w:rPr>
                <w:rFonts w:ascii="Times New Roman" w:eastAsia="標楷體" w:hAnsi="Times New Roman"/>
                <w:color w:val="000000" w:themeColor="text1"/>
                <w:szCs w:val="24"/>
              </w:rPr>
              <w:t>錠劑</w:t>
            </w:r>
            <w:proofErr w:type="gramEnd"/>
            <w:r w:rsidR="0057452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 w:rsidRPr="00E10238">
              <w:rPr>
                <w:rFonts w:ascii="Times New Roman" w:eastAsia="標楷體" w:hAnsi="Times New Roman"/>
                <w:color w:val="000000" w:themeColor="text1"/>
                <w:szCs w:val="24"/>
              </w:rPr>
              <w:t>膠囊劑型</w:t>
            </w:r>
            <w:r w:rsidR="008950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8950C2">
              <w:rPr>
                <w:rFonts w:ascii="Times New Roman" w:eastAsia="標楷體" w:hAnsi="Times New Roman"/>
                <w:color w:val="000000" w:themeColor="text1"/>
                <w:szCs w:val="24"/>
              </w:rPr>
              <w:t>男女兩性生殖泌尿系的陰道毛滴蟲症、變形蟲症</w:t>
            </w:r>
            <w:r w:rsidR="003B37CC" w:rsidRPr="008950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 w:rsidRPr="008950C2">
              <w:rPr>
                <w:rFonts w:ascii="Times New Roman" w:eastAsia="標楷體" w:hAnsi="Times New Roman"/>
                <w:color w:val="000000" w:themeColor="text1"/>
                <w:szCs w:val="24"/>
              </w:rPr>
              <w:t>賈第鞭毛蟲痢疾症、</w:t>
            </w:r>
            <w:r w:rsidR="003B37CC" w:rsidRPr="008950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阿米巴症等</w:t>
            </w:r>
            <w:r w:rsidR="008950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  <w:p w14:paraId="56D5A130" w14:textId="4C8706B4" w:rsidR="00FA62AB" w:rsidRPr="008950C2" w:rsidRDefault="00E10238" w:rsidP="008950C2">
            <w:pPr>
              <w:pStyle w:val="a3"/>
              <w:numPr>
                <w:ilvl w:val="1"/>
                <w:numId w:val="10"/>
              </w:numPr>
              <w:tabs>
                <w:tab w:val="left" w:pos="101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950C2">
              <w:rPr>
                <w:rFonts w:ascii="Times New Roman" w:eastAsia="標楷體" w:hAnsi="Times New Roman"/>
                <w:color w:val="000000" w:themeColor="text1"/>
                <w:szCs w:val="24"/>
              </w:rPr>
              <w:t>注射劑型</w:t>
            </w:r>
            <w:r w:rsidR="008950C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8950C2">
              <w:rPr>
                <w:rFonts w:ascii="Times New Roman" w:eastAsia="標楷體" w:hAnsi="Times New Roman"/>
                <w:color w:val="000000" w:themeColor="text1"/>
                <w:szCs w:val="24"/>
              </w:rPr>
              <w:t>預防外科手術</w:t>
            </w:r>
            <w:proofErr w:type="gramStart"/>
            <w:r w:rsidRPr="008950C2">
              <w:rPr>
                <w:rFonts w:ascii="Times New Roman" w:eastAsia="標楷體" w:hAnsi="Times New Roman"/>
                <w:color w:val="000000" w:themeColor="text1"/>
                <w:szCs w:val="24"/>
              </w:rPr>
              <w:t>厭氣菌之</w:t>
            </w:r>
            <w:proofErr w:type="gramEnd"/>
            <w:r w:rsidRPr="008950C2">
              <w:rPr>
                <w:rFonts w:ascii="Times New Roman" w:eastAsia="標楷體" w:hAnsi="Times New Roman"/>
                <w:color w:val="000000" w:themeColor="text1"/>
                <w:szCs w:val="24"/>
              </w:rPr>
              <w:t>感染。</w:t>
            </w:r>
            <w:bookmarkEnd w:id="1"/>
          </w:p>
        </w:tc>
      </w:tr>
      <w:tr w:rsidR="00790553" w:rsidRPr="00A86F40" w14:paraId="158BD0AE" w14:textId="77777777" w:rsidTr="00903F75">
        <w:trPr>
          <w:jc w:val="center"/>
        </w:trPr>
        <w:tc>
          <w:tcPr>
            <w:tcW w:w="2413" w:type="dxa"/>
            <w:vAlign w:val="center"/>
          </w:tcPr>
          <w:p w14:paraId="6F54E091" w14:textId="77777777" w:rsidR="00790553" w:rsidRPr="00530A6E" w:rsidRDefault="00790553" w:rsidP="007159F2">
            <w:pPr>
              <w:jc w:val="center"/>
              <w:rPr>
                <w:rFonts w:ascii="Times New Roman" w:eastAsia="標楷體" w:hAnsi="Times New Roman"/>
              </w:rPr>
            </w:pPr>
            <w:r w:rsidRPr="00530A6E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510" w:type="dxa"/>
          </w:tcPr>
          <w:p w14:paraId="4EEDD832" w14:textId="360F3E98" w:rsidR="007146F4" w:rsidRPr="00671905" w:rsidRDefault="000D64E7" w:rsidP="00671905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Nitroimidazole</w:t>
            </w:r>
            <w:r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類成分藥品</w:t>
            </w:r>
            <w:r w:rsidR="007159F2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為殺菌及抗</w:t>
            </w:r>
            <w:r w:rsidR="000B367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寄生蟲製劑</w:t>
            </w:r>
            <w:r w:rsidR="007159F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proofErr w:type="gramStart"/>
            <w:r w:rsidR="007159F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在厭氧環境</w:t>
            </w:r>
            <w:proofErr w:type="gramEnd"/>
            <w:r w:rsidR="007159F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下</w:t>
            </w:r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其</w:t>
            </w:r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imidazole</w:t>
            </w:r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環上</w:t>
            </w:r>
            <w:proofErr w:type="gramStart"/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的硝基側鏈</w:t>
            </w:r>
            <w:r w:rsidR="000B367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</w:t>
            </w:r>
            <w:r w:rsidR="000B367A">
              <w:rPr>
                <w:rFonts w:ascii="Times New Roman" w:eastAsia="標楷體" w:hAnsi="Times New Roman"/>
                <w:color w:val="000000" w:themeColor="text1"/>
                <w:szCs w:val="24"/>
              </w:rPr>
              <w:t>還原為</w:t>
            </w:r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硝</w:t>
            </w:r>
            <w:proofErr w:type="gramEnd"/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基自由基</w:t>
            </w:r>
            <w:r w:rsidR="000B367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</w:t>
            </w:r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此活化後的自由基</w:t>
            </w:r>
            <w:r w:rsidR="00C94FFC" w:rsidRPr="00C94F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可與</w:t>
            </w:r>
            <w:r w:rsidR="00C94FFC" w:rsidRPr="00C94F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DNA</w:t>
            </w:r>
            <w:r w:rsidR="00C94FFC" w:rsidRPr="00C94FF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作用，導致螺旋結構喪失，</w:t>
            </w:r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進而干擾</w:t>
            </w:r>
            <w:r w:rsidR="000B367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DNA</w:t>
            </w:r>
            <w:r w:rsidR="000B367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合成及蛋白質合成</w:t>
            </w:r>
            <w:r w:rsidR="000B367A" w:rsidRPr="00670FE2">
              <w:rPr>
                <w:rFonts w:ascii="Times New Roman" w:eastAsia="標楷體" w:hAnsi="Times New Roman"/>
                <w:color w:val="000000" w:themeColor="text1"/>
                <w:szCs w:val="24"/>
              </w:rPr>
              <w:t>，最終導致微生物死亡。</w:t>
            </w:r>
          </w:p>
        </w:tc>
      </w:tr>
      <w:tr w:rsidR="00790553" w:rsidRPr="00E11D7C" w14:paraId="4C7118D6" w14:textId="77777777" w:rsidTr="00903F75">
        <w:trPr>
          <w:trHeight w:val="416"/>
          <w:jc w:val="center"/>
        </w:trPr>
        <w:tc>
          <w:tcPr>
            <w:tcW w:w="2413" w:type="dxa"/>
            <w:vAlign w:val="center"/>
          </w:tcPr>
          <w:p w14:paraId="2FD166DF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510" w:type="dxa"/>
          </w:tcPr>
          <w:p w14:paraId="790C66AD" w14:textId="1AD52053" w:rsidR="005D30DF" w:rsidRDefault="00B419F9" w:rsidP="00671905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>
              <w:rPr>
                <w:rFonts w:ascii="Times New Roman" w:eastAsia="標楷體" w:hAnsi="Times New Roman"/>
                <w:kern w:val="0"/>
                <w:szCs w:val="24"/>
              </w:rPr>
              <w:t>113</w:t>
            </w:r>
            <w:r w:rsidR="00790553" w:rsidRPr="00E11D7C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3824AF">
              <w:rPr>
                <w:rFonts w:ascii="Times New Roman" w:eastAsia="標楷體" w:hAnsi="Times New Roman" w:hint="eastAsia"/>
                <w:kern w:val="0"/>
                <w:szCs w:val="24"/>
              </w:rPr>
              <w:t>12</w:t>
            </w:r>
            <w:r w:rsidR="00790553" w:rsidRPr="00E11D7C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="003824AF">
              <w:rPr>
                <w:rFonts w:ascii="Times New Roman" w:eastAsia="標楷體" w:hAnsi="Times New Roman" w:hint="eastAsia"/>
                <w:kern w:val="0"/>
                <w:szCs w:val="24"/>
              </w:rPr>
              <w:t>23</w:t>
            </w:r>
            <w:r w:rsidR="00E737DA" w:rsidRPr="00E737D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瑞士醫藥管理局</w:t>
            </w:r>
            <w:r w:rsidR="00A8159B"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（</w:t>
            </w:r>
            <w:proofErr w:type="spellStart"/>
            <w:r w:rsidR="00E737DA" w:rsidRPr="00E737D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Swissmedic</w:t>
            </w:r>
            <w:proofErr w:type="spellEnd"/>
            <w:r w:rsidR="00A8159B"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）</w:t>
            </w:r>
            <w:r w:rsidR="00E737DA" w:rsidRPr="00E737D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發布致醫療人員溝通函，</w:t>
            </w:r>
          </w:p>
          <w:p w14:paraId="0A907D4D" w14:textId="5F2F040F" w:rsidR="005D30DF" w:rsidRDefault="005D30DF" w:rsidP="00671905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說明</w:t>
            </w:r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metronidazole</w:t>
            </w:r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及其他</w:t>
            </w:r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nitroimidazoles</w:t>
            </w:r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類成分藥品禁止使用於患有柯凱因氏症候群</w:t>
            </w:r>
            <w:r w:rsidR="00836EA9"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（</w:t>
            </w:r>
            <w:r w:rsidR="00836EA9" w:rsidRPr="00C260EC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Cockayne syndrome</w:t>
            </w:r>
            <w:r w:rsidR="00836EA9"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）</w:t>
            </w:r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的病人，因可能會產生</w:t>
            </w:r>
            <w:proofErr w:type="gramStart"/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嚴重肝</w:t>
            </w:r>
            <w:proofErr w:type="gramEnd"/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毒性或</w:t>
            </w:r>
            <w:proofErr w:type="gramStart"/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急性肝</w:t>
            </w:r>
            <w:proofErr w:type="gramEnd"/>
            <w:r w:rsidRPr="005D30DF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衰竭</w:t>
            </w:r>
            <w:r w:rsidR="00E5006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。</w:t>
            </w:r>
          </w:p>
          <w:p w14:paraId="16EAE573" w14:textId="0757EC79" w:rsidR="00790553" w:rsidRPr="00E11D7C" w:rsidRDefault="00E737DA" w:rsidP="00E737DA">
            <w:pPr>
              <w:widowControl/>
              <w:shd w:val="clear" w:color="auto" w:fill="FFFFFF"/>
              <w:rPr>
                <w:rFonts w:ascii="Times New Roman" w:eastAsia="標楷體" w:hAnsi="Times New Roman"/>
                <w:u w:val="single"/>
              </w:rPr>
            </w:pPr>
            <w:r w:rsidRPr="00E737D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網址：</w:t>
            </w:r>
            <w:hyperlink r:id="rId8" w:history="1">
              <w:r w:rsidRPr="00E737DA">
                <w:rPr>
                  <w:rStyle w:val="a4"/>
                  <w:rFonts w:ascii="Times New Roman" w:hAnsi="Times New Roman"/>
                </w:rPr>
                <w:t>https://www.swissmedic.ch/swissmedic/en/home/humanarzneimittel/market-surveillance/health-professional-communication--hpc-/hpc-metronidazol-und-andere-nitroimidazole.html</w:t>
              </w:r>
            </w:hyperlink>
          </w:p>
        </w:tc>
      </w:tr>
      <w:tr w:rsidR="00790553" w:rsidRPr="00E11D7C" w14:paraId="48E08A00" w14:textId="77777777" w:rsidTr="00903F75">
        <w:trPr>
          <w:trHeight w:val="896"/>
          <w:jc w:val="center"/>
        </w:trPr>
        <w:tc>
          <w:tcPr>
            <w:tcW w:w="2413" w:type="dxa"/>
            <w:vAlign w:val="center"/>
          </w:tcPr>
          <w:p w14:paraId="29D29C17" w14:textId="77777777" w:rsidR="00790553" w:rsidRPr="00E11D7C" w:rsidRDefault="00790553" w:rsidP="007159F2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510" w:type="dxa"/>
          </w:tcPr>
          <w:p w14:paraId="07C3CA24" w14:textId="75C09C8F" w:rsidR="00D13084" w:rsidRDefault="00DD2912" w:rsidP="00671905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D2912">
              <w:rPr>
                <w:rFonts w:ascii="Times New Roman" w:eastAsia="標楷體" w:hAnsi="Times New Roman" w:hint="eastAsia"/>
                <w:kern w:val="0"/>
                <w:szCs w:val="24"/>
              </w:rPr>
              <w:t>柯凱因氏症候群</w:t>
            </w:r>
            <w:r w:rsidR="00AC2769">
              <w:rPr>
                <w:rFonts w:ascii="Times New Roman" w:eastAsia="標楷體" w:hAnsi="Times New Roman" w:hint="eastAsia"/>
                <w:kern w:val="0"/>
                <w:szCs w:val="24"/>
              </w:rPr>
              <w:t>為一種</w:t>
            </w:r>
            <w:r w:rsidR="0048682C">
              <w:rPr>
                <w:rFonts w:ascii="Times New Roman" w:eastAsia="標楷體" w:hAnsi="Times New Roman" w:hint="eastAsia"/>
                <w:kern w:val="0"/>
                <w:szCs w:val="24"/>
              </w:rPr>
              <w:t>非常</w:t>
            </w:r>
            <w:r w:rsidR="00AC2769">
              <w:rPr>
                <w:rFonts w:ascii="Times New Roman" w:eastAsia="標楷體" w:hAnsi="Times New Roman" w:hint="eastAsia"/>
                <w:kern w:val="0"/>
                <w:szCs w:val="24"/>
              </w:rPr>
              <w:t>罕見的</w:t>
            </w:r>
            <w:r w:rsidR="0048682C">
              <w:rPr>
                <w:rFonts w:ascii="Times New Roman" w:eastAsia="標楷體" w:hAnsi="Times New Roman" w:hint="eastAsia"/>
                <w:kern w:val="0"/>
                <w:szCs w:val="24"/>
              </w:rPr>
              <w:t>體染色體</w:t>
            </w:r>
            <w:r w:rsidR="00AC2769">
              <w:rPr>
                <w:rFonts w:ascii="Times New Roman" w:eastAsia="標楷體" w:hAnsi="Times New Roman" w:hint="eastAsia"/>
                <w:kern w:val="0"/>
                <w:szCs w:val="24"/>
              </w:rPr>
              <w:t>隱性遺傳疾病</w:t>
            </w:r>
            <w:r w:rsidR="00AC2769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48682C">
              <w:rPr>
                <w:rFonts w:ascii="標楷體" w:eastAsia="標楷體" w:hAnsi="標楷體" w:hint="eastAsia"/>
                <w:kern w:val="0"/>
                <w:szCs w:val="24"/>
              </w:rPr>
              <w:t>主要</w:t>
            </w:r>
            <w:r w:rsidR="00AC2769">
              <w:rPr>
                <w:rFonts w:ascii="Times New Roman" w:eastAsia="標楷體" w:hAnsi="Times New Roman" w:hint="eastAsia"/>
                <w:kern w:val="0"/>
                <w:szCs w:val="24"/>
              </w:rPr>
              <w:t>病徵包括小頭畸形</w:t>
            </w:r>
            <w:r w:rsidR="00AC2769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 w:rsidR="0048682C">
              <w:rPr>
                <w:rFonts w:ascii="Times New Roman" w:eastAsia="標楷體" w:hAnsi="Times New Roman" w:hint="eastAsia"/>
                <w:kern w:val="0"/>
                <w:szCs w:val="24"/>
              </w:rPr>
              <w:t>生長遲緩</w:t>
            </w:r>
            <w:r w:rsidR="00AC2769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 w:rsidR="00AC2769">
              <w:rPr>
                <w:rFonts w:ascii="Times New Roman" w:eastAsia="標楷體" w:hAnsi="Times New Roman" w:hint="eastAsia"/>
                <w:kern w:val="0"/>
                <w:szCs w:val="24"/>
              </w:rPr>
              <w:t>早衰</w:t>
            </w:r>
            <w:r w:rsidR="0048682C">
              <w:rPr>
                <w:rFonts w:ascii="Times New Roman" w:eastAsia="標楷體" w:hAnsi="Times New Roman" w:hint="eastAsia"/>
                <w:kern w:val="0"/>
                <w:szCs w:val="24"/>
              </w:rPr>
              <w:t>等</w:t>
            </w:r>
            <w:r w:rsidR="0048682C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48682C">
              <w:rPr>
                <w:rFonts w:ascii="Times New Roman" w:eastAsia="標楷體" w:hAnsi="Times New Roman" w:hint="eastAsia"/>
                <w:kern w:val="0"/>
                <w:szCs w:val="24"/>
              </w:rPr>
              <w:t>病人的預期壽命</w:t>
            </w:r>
            <w:r w:rsidR="00AC2769">
              <w:rPr>
                <w:rFonts w:ascii="Times New Roman" w:eastAsia="標楷體" w:hAnsi="Times New Roman" w:hint="eastAsia"/>
                <w:kern w:val="0"/>
                <w:szCs w:val="24"/>
              </w:rPr>
              <w:t>顯著較短</w:t>
            </w:r>
            <w:r w:rsidR="00B07697" w:rsidRPr="00D13084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6091F03F" w14:textId="62923836" w:rsidR="006E2EEE" w:rsidRPr="00E22313" w:rsidRDefault="0056730C" w:rsidP="00671905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目前</w:t>
            </w:r>
            <w:r w:rsidR="0029211E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已有多篇</w:t>
            </w:r>
            <w:r w:rsidR="0029211E" w:rsidRPr="002170B5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柯凱因氏症候群病人在接受全身性</w:t>
            </w:r>
            <w:r w:rsidR="0029211E" w:rsidRPr="002170B5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m</w:t>
            </w:r>
            <w:r w:rsidR="0029211E" w:rsidRPr="002170B5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etronidazole</w:t>
            </w:r>
            <w:r w:rsidR="0029211E" w:rsidRPr="00600C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治療後發生</w:t>
            </w:r>
            <w:proofErr w:type="gramStart"/>
            <w:r w:rsidR="0029211E" w:rsidRPr="00600C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嚴重肝</w:t>
            </w:r>
            <w:proofErr w:type="gramEnd"/>
            <w:r w:rsidR="0029211E" w:rsidRPr="00600C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毒性</w:t>
            </w:r>
            <w:r w:rsidR="0029211E" w:rsidRPr="00600C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/</w:t>
            </w:r>
            <w:proofErr w:type="gramStart"/>
            <w:r w:rsidR="0029211E" w:rsidRPr="00600C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急性肝</w:t>
            </w:r>
            <w:proofErr w:type="gramEnd"/>
            <w:r w:rsidR="0029211E" w:rsidRPr="00600C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衰竭的案例報告和文獻</w:t>
            </w:r>
            <w:r w:rsidR="003C15D0" w:rsidRPr="00DF13B6">
              <w:rPr>
                <w:rFonts w:ascii="標楷體" w:eastAsia="標楷體" w:hAnsi="標楷體" w:hint="eastAsia"/>
                <w:bCs/>
                <w:kern w:val="36"/>
                <w:szCs w:val="24"/>
                <w:lang w:bidi="hi-IN"/>
              </w:rPr>
              <w:t>，</w:t>
            </w:r>
            <w:r w:rsidR="003C15D0" w:rsidRPr="00DF13B6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其中包括死亡案例</w:t>
            </w:r>
            <w:r w:rsidR="00B07697" w:rsidRPr="005A5186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  <w:r w:rsidR="003C15D0" w:rsidRPr="005A5186">
              <w:rPr>
                <w:rFonts w:ascii="Times New Roman" w:eastAsia="標楷體" w:hAnsi="Times New Roman" w:hint="eastAsia"/>
                <w:kern w:val="0"/>
                <w:szCs w:val="24"/>
              </w:rPr>
              <w:t>從這些報告中可發現</w:t>
            </w:r>
            <w:r w:rsidR="00836EA9" w:rsidRPr="000B367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柯凱因氏症候群病人</w:t>
            </w:r>
            <w:r w:rsidR="00836EA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因</w:t>
            </w:r>
            <w:r w:rsidR="00DE4B38" w:rsidRPr="000B367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m</w:t>
            </w:r>
            <w:r w:rsidR="00DE4B38" w:rsidRPr="000B367A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etronidazole</w:t>
            </w:r>
            <w:r w:rsidR="00DE4B38" w:rsidRPr="000B367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引起的肝毒性</w:t>
            </w:r>
            <w:r w:rsidR="006911B2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風險</w:t>
            </w:r>
            <w:r w:rsidR="009271D0">
              <w:rPr>
                <w:rFonts w:ascii="Times New Roman" w:eastAsia="標楷體" w:hAnsi="Times New Roman" w:hint="eastAsia"/>
                <w:kern w:val="0"/>
                <w:szCs w:val="24"/>
              </w:rPr>
              <w:t>發生機會極高</w:t>
            </w:r>
            <w:r w:rsidR="00836EA9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6911B2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病程</w:t>
            </w:r>
            <w:r w:rsidR="00D13365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進展</w:t>
            </w:r>
            <w:r w:rsidR="00040346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迅速</w:t>
            </w:r>
            <w:r w:rsidR="00143547">
              <w:rPr>
                <w:rFonts w:ascii="Times New Roman" w:eastAsia="標楷體" w:hAnsi="Times New Roman" w:hint="eastAsia"/>
                <w:kern w:val="0"/>
                <w:szCs w:val="24"/>
              </w:rPr>
              <w:t>且</w:t>
            </w:r>
            <w:r w:rsidR="00D13365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嚴重</w:t>
            </w:r>
            <w:r w:rsidR="006911B2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="00E22313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另</w:t>
            </w:r>
            <w:r w:rsidR="00836EA9">
              <w:rPr>
                <w:rFonts w:ascii="Times New Roman" w:eastAsia="標楷體" w:hAnsi="Times New Roman" w:hint="eastAsia"/>
                <w:kern w:val="0"/>
                <w:szCs w:val="24"/>
              </w:rPr>
              <w:t>有</w:t>
            </w:r>
            <w:r w:rsidR="003D545A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體外</w:t>
            </w:r>
            <w:r w:rsidR="00733B1E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試驗</w:t>
            </w:r>
            <w:r w:rsidR="00306254" w:rsidRPr="00E22313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D13365" w:rsidRPr="002170B5">
              <w:rPr>
                <w:rFonts w:ascii="Times New Roman" w:eastAsia="標楷體" w:hAnsi="Times New Roman" w:hint="eastAsia"/>
                <w:kern w:val="0"/>
                <w:szCs w:val="24"/>
              </w:rPr>
              <w:t>研究結果</w:t>
            </w:r>
            <w:r w:rsidR="009271D0">
              <w:rPr>
                <w:rFonts w:ascii="Times New Roman" w:eastAsia="標楷體" w:hAnsi="Times New Roman" w:hint="eastAsia"/>
                <w:kern w:val="0"/>
                <w:szCs w:val="24"/>
              </w:rPr>
              <w:t>顯示</w:t>
            </w:r>
            <w:r w:rsidR="003D545A" w:rsidRPr="002170B5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9271D0">
              <w:rPr>
                <w:rFonts w:ascii="Times New Roman" w:eastAsia="標楷體" w:hAnsi="Times New Roman" w:hint="eastAsia"/>
                <w:kern w:val="0"/>
                <w:szCs w:val="24"/>
              </w:rPr>
              <w:t>相較於來自對照族群的纖維母細胞</w:t>
            </w:r>
            <w:r w:rsidR="009271D0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9271D0">
              <w:rPr>
                <w:rFonts w:ascii="Times New Roman" w:eastAsia="標楷體" w:hAnsi="Times New Roman" w:hint="eastAsia"/>
                <w:kern w:val="0"/>
                <w:szCs w:val="24"/>
              </w:rPr>
              <w:t>即便是</w:t>
            </w:r>
            <w:r w:rsidR="009271D0">
              <w:rPr>
                <w:rFonts w:ascii="Times New Roman" w:eastAsia="標楷體" w:hAnsi="Times New Roman" w:hint="eastAsia"/>
                <w:kern w:val="0"/>
                <w:szCs w:val="24"/>
              </w:rPr>
              <w:lastRenderedPageBreak/>
              <w:t>極低濃度的</w:t>
            </w:r>
            <w:r w:rsidR="009271D0">
              <w:rPr>
                <w:rFonts w:ascii="Times New Roman" w:eastAsia="標楷體" w:hAnsi="Times New Roman" w:hint="eastAsia"/>
                <w:kern w:val="0"/>
                <w:szCs w:val="24"/>
              </w:rPr>
              <w:t>m</w:t>
            </w:r>
            <w:r w:rsidR="009271D0">
              <w:rPr>
                <w:rFonts w:ascii="Times New Roman" w:eastAsia="標楷體" w:hAnsi="Times New Roman"/>
                <w:kern w:val="0"/>
                <w:szCs w:val="24"/>
              </w:rPr>
              <w:t>etronidazole</w:t>
            </w:r>
            <w:r w:rsidR="009271D0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9271D0">
              <w:rPr>
                <w:rFonts w:ascii="Times New Roman" w:eastAsia="標楷體" w:hAnsi="Times New Roman" w:hint="eastAsia"/>
                <w:kern w:val="0"/>
                <w:szCs w:val="24"/>
              </w:rPr>
              <w:t>也能明顯損害來自</w:t>
            </w:r>
            <w:r w:rsidR="009271D0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柯凱因氏症候群病人</w:t>
            </w:r>
            <w:r w:rsidR="009271D0">
              <w:rPr>
                <w:rFonts w:ascii="Times New Roman" w:eastAsia="標楷體" w:hAnsi="Times New Roman" w:hint="eastAsia"/>
                <w:kern w:val="0"/>
                <w:szCs w:val="24"/>
              </w:rPr>
              <w:t>的纖維母細胞活性</w:t>
            </w:r>
            <w:r w:rsidR="003D545A" w:rsidRPr="000B367A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37155812" w14:textId="289AB11B" w:rsidR="00790553" w:rsidRPr="00836EA9" w:rsidRDefault="00682C31" w:rsidP="00836EA9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682C31">
              <w:rPr>
                <w:rFonts w:ascii="Times New Roman" w:eastAsia="標楷體" w:hAnsi="Times New Roman" w:hint="eastAsia"/>
                <w:kern w:val="0"/>
                <w:szCs w:val="24"/>
              </w:rPr>
              <w:t>瑞士</w:t>
            </w:r>
            <w:proofErr w:type="spellStart"/>
            <w:r w:rsidRPr="00682C31">
              <w:rPr>
                <w:rFonts w:ascii="Times New Roman" w:eastAsia="標楷體" w:hAnsi="Times New Roman" w:hint="eastAsia"/>
                <w:kern w:val="0"/>
                <w:szCs w:val="24"/>
              </w:rPr>
              <w:t>Swissmedic</w:t>
            </w:r>
            <w:proofErr w:type="spellEnd"/>
            <w:r w:rsidR="0056730C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經評估</w:t>
            </w:r>
            <w:r w:rsidR="006E2EEE">
              <w:rPr>
                <w:rFonts w:ascii="Times New Roman" w:eastAsia="標楷體" w:hAnsi="Times New Roman" w:hint="eastAsia"/>
                <w:kern w:val="0"/>
                <w:szCs w:val="24"/>
              </w:rPr>
              <w:t>現有證據後</w:t>
            </w:r>
            <w:r w:rsidR="0056730C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6E2EEE">
              <w:rPr>
                <w:rFonts w:ascii="Times New Roman" w:eastAsia="標楷體" w:hAnsi="Times New Roman" w:hint="eastAsia"/>
                <w:kern w:val="0"/>
                <w:szCs w:val="24"/>
              </w:rPr>
              <w:t>認為可以</w:t>
            </w:r>
            <w:r w:rsidR="00005CD1">
              <w:rPr>
                <w:rFonts w:ascii="Times New Roman" w:eastAsia="標楷體" w:hAnsi="Times New Roman" w:hint="eastAsia"/>
                <w:kern w:val="0"/>
                <w:szCs w:val="24"/>
              </w:rPr>
              <w:t>推論</w:t>
            </w:r>
            <w:r w:rsidR="006E2EEE">
              <w:rPr>
                <w:rFonts w:ascii="Times New Roman" w:eastAsia="標楷體" w:hAnsi="Times New Roman" w:hint="eastAsia"/>
                <w:kern w:val="0"/>
                <w:szCs w:val="24"/>
              </w:rPr>
              <w:t>大</w:t>
            </w:r>
            <w:r w:rsidR="0056730C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多數</w:t>
            </w:r>
            <w:r w:rsidR="00C63B8D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56730C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柯凱因氏症候群病人</w:t>
            </w:r>
            <w:r w:rsidR="004E1833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="004E1833">
              <w:rPr>
                <w:rFonts w:ascii="Times New Roman" w:eastAsia="標楷體" w:hAnsi="Times New Roman" w:hint="eastAsia"/>
                <w:kern w:val="0"/>
                <w:szCs w:val="24"/>
              </w:rPr>
              <w:t>m</w:t>
            </w:r>
            <w:r w:rsidR="004E1833">
              <w:rPr>
                <w:rFonts w:ascii="Times New Roman" w:eastAsia="標楷體" w:hAnsi="Times New Roman"/>
                <w:kern w:val="0"/>
                <w:szCs w:val="24"/>
              </w:rPr>
              <w:t>etronidazole</w:t>
            </w:r>
            <w:r w:rsidR="004E1833">
              <w:rPr>
                <w:rFonts w:ascii="Times New Roman" w:eastAsia="標楷體" w:hAnsi="Times New Roman" w:hint="eastAsia"/>
                <w:kern w:val="0"/>
                <w:szCs w:val="24"/>
              </w:rPr>
              <w:t>治療會導致</w:t>
            </w:r>
            <w:proofErr w:type="gramStart"/>
            <w:r w:rsidR="0056730C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急性肝</w:t>
            </w:r>
            <w:proofErr w:type="gramEnd"/>
            <w:r w:rsidR="0056730C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衰竭，而此致病</w:t>
            </w:r>
            <w:proofErr w:type="gramStart"/>
            <w:r w:rsidR="0056730C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機轉尚不</w:t>
            </w:r>
            <w:proofErr w:type="gramEnd"/>
            <w:r w:rsidR="0056730C" w:rsidRPr="0056730C">
              <w:rPr>
                <w:rFonts w:ascii="Times New Roman" w:eastAsia="標楷體" w:hAnsi="Times New Roman" w:hint="eastAsia"/>
                <w:kern w:val="0"/>
                <w:szCs w:val="24"/>
              </w:rPr>
              <w:t>明確</w:t>
            </w:r>
            <w:r w:rsidR="00C63B8D">
              <w:rPr>
                <w:rFonts w:ascii="Times New Roman" w:eastAsia="標楷體" w:hAnsi="Times New Roman" w:hint="eastAsia"/>
                <w:kern w:val="0"/>
                <w:szCs w:val="24"/>
              </w:rPr>
              <w:t>，且</w:t>
            </w:r>
            <w:r w:rsidR="00C63B8D" w:rsidRPr="003D545A">
              <w:rPr>
                <w:rFonts w:ascii="Times New Roman" w:eastAsia="標楷體" w:hAnsi="Times New Roman" w:hint="eastAsia"/>
                <w:kern w:val="0"/>
                <w:szCs w:val="24"/>
              </w:rPr>
              <w:t>無法排除即使</w:t>
            </w:r>
            <w:r w:rsidR="00C63B8D">
              <w:rPr>
                <w:rFonts w:ascii="Times New Roman" w:eastAsia="標楷體" w:hAnsi="Times New Roman" w:hint="eastAsia"/>
                <w:kern w:val="0"/>
                <w:szCs w:val="24"/>
              </w:rPr>
              <w:t>是</w:t>
            </w:r>
            <w:r w:rsidR="00C63B8D" w:rsidRPr="003D545A">
              <w:rPr>
                <w:rFonts w:ascii="Times New Roman" w:eastAsia="標楷體" w:hAnsi="Times New Roman" w:hint="eastAsia"/>
                <w:kern w:val="0"/>
                <w:szCs w:val="24"/>
              </w:rPr>
              <w:t>極低劑量的</w:t>
            </w:r>
            <w:r w:rsidR="00C63B8D" w:rsidRPr="003D545A">
              <w:rPr>
                <w:rFonts w:ascii="Times New Roman" w:eastAsia="標楷體" w:hAnsi="Times New Roman" w:hint="eastAsia"/>
                <w:kern w:val="0"/>
                <w:szCs w:val="24"/>
              </w:rPr>
              <w:t>metronidazole</w:t>
            </w:r>
            <w:r w:rsidR="00C63B8D">
              <w:rPr>
                <w:rFonts w:ascii="標楷體" w:eastAsia="標楷體" w:hAnsi="標楷體" w:hint="eastAsia"/>
                <w:kern w:val="0"/>
                <w:szCs w:val="24"/>
              </w:rPr>
              <w:t>仍可能</w:t>
            </w:r>
            <w:r w:rsidR="00B475E3">
              <w:rPr>
                <w:rFonts w:ascii="Times New Roman" w:eastAsia="標楷體" w:hAnsi="Times New Roman" w:hint="eastAsia"/>
                <w:kern w:val="0"/>
                <w:szCs w:val="24"/>
              </w:rPr>
              <w:t>造成此類病人發生</w:t>
            </w:r>
            <w:r w:rsidR="00C63B8D" w:rsidRPr="003D545A">
              <w:rPr>
                <w:rFonts w:ascii="Times New Roman" w:eastAsia="標楷體" w:hAnsi="Times New Roman" w:hint="eastAsia"/>
                <w:kern w:val="0"/>
                <w:szCs w:val="24"/>
              </w:rPr>
              <w:t>嚴重不良反應</w:t>
            </w:r>
            <w:r w:rsidR="00C63B8D">
              <w:rPr>
                <w:rFonts w:ascii="Times New Roman" w:eastAsia="標楷體" w:hAnsi="Times New Roman" w:hint="eastAsia"/>
                <w:kern w:val="0"/>
                <w:szCs w:val="24"/>
              </w:rPr>
              <w:t>，故</w:t>
            </w:r>
            <w:r w:rsidR="00B475E3">
              <w:rPr>
                <w:rFonts w:ascii="Times New Roman" w:eastAsia="標楷體" w:hAnsi="Times New Roman" w:hint="eastAsia"/>
                <w:kern w:val="0"/>
                <w:szCs w:val="24"/>
              </w:rPr>
              <w:t>禁止</w:t>
            </w:r>
            <w:proofErr w:type="gramStart"/>
            <w:r w:rsidR="00B475E3" w:rsidRPr="00836EA9">
              <w:rPr>
                <w:rFonts w:ascii="Times New Roman" w:eastAsia="標楷體" w:hAnsi="Times New Roman" w:hint="eastAsia"/>
                <w:kern w:val="0"/>
                <w:szCs w:val="24"/>
              </w:rPr>
              <w:t>所有劑</w:t>
            </w:r>
            <w:proofErr w:type="gramEnd"/>
            <w:r w:rsidR="00B475E3" w:rsidRPr="00836EA9">
              <w:rPr>
                <w:rFonts w:ascii="Times New Roman" w:eastAsia="標楷體" w:hAnsi="Times New Roman" w:hint="eastAsia"/>
                <w:kern w:val="0"/>
                <w:szCs w:val="24"/>
              </w:rPr>
              <w:t>型</w:t>
            </w:r>
            <w:r w:rsidR="00903F75">
              <w:rPr>
                <w:rFonts w:ascii="Times New Roman" w:eastAsia="標楷體" w:hAnsi="Times New Roman" w:hint="eastAsia"/>
                <w:kern w:val="0"/>
                <w:szCs w:val="24"/>
              </w:rPr>
              <w:t>之</w:t>
            </w:r>
            <w:r w:rsidR="00836EA9" w:rsidRPr="00836EA9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metronidazole </w:t>
            </w:r>
            <w:r w:rsidR="00836EA9" w:rsidRPr="00836EA9">
              <w:rPr>
                <w:rFonts w:ascii="Times New Roman" w:eastAsia="標楷體" w:hAnsi="Times New Roman" w:hint="eastAsia"/>
                <w:kern w:val="0"/>
                <w:szCs w:val="24"/>
              </w:rPr>
              <w:t>及其他</w:t>
            </w:r>
            <w:r w:rsidR="00836EA9" w:rsidRPr="00836EA9">
              <w:rPr>
                <w:rFonts w:ascii="Times New Roman" w:eastAsia="標楷體" w:hAnsi="Times New Roman" w:hint="eastAsia"/>
                <w:kern w:val="0"/>
                <w:szCs w:val="24"/>
              </w:rPr>
              <w:t>nitroimidazoles</w:t>
            </w:r>
            <w:r w:rsidR="00836EA9" w:rsidRPr="00836EA9">
              <w:rPr>
                <w:rFonts w:ascii="Times New Roman" w:eastAsia="標楷體" w:hAnsi="Times New Roman" w:hint="eastAsia"/>
                <w:kern w:val="0"/>
                <w:szCs w:val="24"/>
              </w:rPr>
              <w:t>類成分藥品使用於患有柯凱因氏症候群的病人</w:t>
            </w:r>
            <w:r w:rsidR="00E3436F" w:rsidRPr="00836EA9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</w:tc>
      </w:tr>
      <w:tr w:rsidR="00836EA9" w:rsidRPr="00E11D7C" w14:paraId="6B478C20" w14:textId="77777777" w:rsidTr="00903F75">
        <w:trPr>
          <w:trHeight w:val="896"/>
          <w:jc w:val="center"/>
        </w:trPr>
        <w:tc>
          <w:tcPr>
            <w:tcW w:w="2413" w:type="dxa"/>
            <w:vAlign w:val="center"/>
          </w:tcPr>
          <w:p w14:paraId="066FD0AA" w14:textId="0EF8F078" w:rsidR="00836EA9" w:rsidRPr="0055010F" w:rsidRDefault="00836EA9" w:rsidP="007159F2">
            <w:pPr>
              <w:jc w:val="center"/>
              <w:rPr>
                <w:rFonts w:ascii="Times New Roman" w:eastAsia="標楷體" w:hAnsi="Times New Roman"/>
              </w:rPr>
            </w:pPr>
            <w:r w:rsidRPr="006921A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lastRenderedPageBreak/>
              <w:t>食品藥物管理署風險溝通說明</w:t>
            </w:r>
          </w:p>
        </w:tc>
        <w:tc>
          <w:tcPr>
            <w:tcW w:w="7510" w:type="dxa"/>
          </w:tcPr>
          <w:p w14:paraId="598E4B63" w14:textId="3465B483" w:rsidR="00836EA9" w:rsidRPr="00836EA9" w:rsidRDefault="00836EA9" w:rsidP="00836EA9">
            <w:pPr>
              <w:numPr>
                <w:ilvl w:val="0"/>
                <w:numId w:val="1"/>
              </w:numPr>
              <w:spacing w:line="350" w:lineRule="exact"/>
              <w:ind w:left="482" w:hanging="482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6921A2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食品藥物管理署說明</w:t>
            </w:r>
            <w:r w:rsidRPr="006921A2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  <w:t>：</w:t>
            </w:r>
          </w:p>
          <w:p w14:paraId="2A94AA3E" w14:textId="728E7507" w:rsidR="0028614E" w:rsidRDefault="0028614E" w:rsidP="0028614E">
            <w:pPr>
              <w:pStyle w:val="a3"/>
              <w:numPr>
                <w:ilvl w:val="0"/>
                <w:numId w:val="11"/>
              </w:numPr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經查，</w:t>
            </w:r>
            <w:r w:rsidR="00903F75" w:rsidRPr="00903F7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我國核准</w:t>
            </w:r>
            <w:r w:rsidR="00903F75" w:rsidRPr="00903F7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nitroimidazole</w:t>
            </w:r>
            <w:r w:rsidR="00903F75" w:rsidRPr="00903F7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類成分藥品許可證共</w:t>
            </w:r>
            <w:r w:rsidR="00903F75" w:rsidRPr="00903F7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85</w:t>
            </w:r>
            <w:r w:rsidR="00903F75" w:rsidRPr="00903F7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張</w:t>
            </w:r>
            <w:r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，經初步檢視其中文</w:t>
            </w:r>
            <w:proofErr w:type="gramStart"/>
            <w:r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仿單均未刊載</w:t>
            </w:r>
            <w:proofErr w:type="gramEnd"/>
            <w:r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與案內警訊相關之安全性資訊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  <w:p w14:paraId="6DB7C335" w14:textId="5851D93E" w:rsidR="0028614E" w:rsidRPr="0028614E" w:rsidRDefault="0028614E" w:rsidP="0028614E">
            <w:pPr>
              <w:pStyle w:val="a3"/>
              <w:numPr>
                <w:ilvl w:val="0"/>
                <w:numId w:val="11"/>
              </w:numPr>
              <w:ind w:leftChars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proofErr w:type="gramStart"/>
            <w:r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本署刻</w:t>
            </w:r>
            <w:proofErr w:type="gramEnd"/>
            <w:r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正評估是否針對該</w:t>
            </w:r>
            <w:r w:rsidR="00903F7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類成分</w:t>
            </w:r>
            <w:r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藥品採取進一步風險管控措施。</w:t>
            </w:r>
          </w:p>
          <w:p w14:paraId="60B16C75" w14:textId="66B78C77" w:rsidR="00836EA9" w:rsidRPr="0028614E" w:rsidRDefault="00836EA9" w:rsidP="00836EA9">
            <w:pPr>
              <w:pStyle w:val="a3"/>
              <w:widowControl/>
              <w:numPr>
                <w:ilvl w:val="0"/>
                <w:numId w:val="1"/>
              </w:numPr>
              <w:spacing w:line="400" w:lineRule="exact"/>
              <w:ind w:leftChars="0" w:left="482" w:hanging="482"/>
              <w:jc w:val="both"/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</w:pPr>
            <w:r w:rsidRPr="0028614E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28614E"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  <w:t>應注意事項：</w:t>
            </w:r>
          </w:p>
          <w:p w14:paraId="3286D4AB" w14:textId="6AE6F8AC" w:rsidR="0028614E" w:rsidRDefault="00836EA9" w:rsidP="0028614E">
            <w:pPr>
              <w:pStyle w:val="a3"/>
              <w:numPr>
                <w:ilvl w:val="0"/>
                <w:numId w:val="12"/>
              </w:numPr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目前已有多篇柯凱因氏症候群病人在接受全身性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metronidazole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治療後發生</w:t>
            </w:r>
            <w:proofErr w:type="gramStart"/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嚴重肝</w:t>
            </w:r>
            <w:proofErr w:type="gramEnd"/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毒性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/</w:t>
            </w:r>
            <w:proofErr w:type="gramStart"/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急性肝</w:t>
            </w:r>
            <w:proofErr w:type="gramEnd"/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衰竭的案例報告和文獻，其中包括死亡案例。從這些報告中可發現柯凱因氏症候群病人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使用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m</w:t>
            </w:r>
            <w:r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etronidazole</w:t>
            </w:r>
            <w:r w:rsid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後</w:t>
            </w:r>
            <w:r w:rsidR="0014354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發生</w:t>
            </w:r>
            <w:r w:rsidR="0028614E"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肝毒性風險機會極高，病程進展迅速</w:t>
            </w:r>
            <w:r w:rsidR="0014354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且</w:t>
            </w:r>
            <w:r w:rsidR="0028614E" w:rsidRPr="0028614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嚴重</w:t>
            </w:r>
            <w:r w:rsidR="0014354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  <w:p w14:paraId="77E0F7C9" w14:textId="1E83622F" w:rsidR="00836EA9" w:rsidRPr="00561C66" w:rsidRDefault="00836EA9" w:rsidP="0028614E">
            <w:pPr>
              <w:pStyle w:val="a3"/>
              <w:numPr>
                <w:ilvl w:val="0"/>
                <w:numId w:val="12"/>
              </w:numPr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其他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nitroimidazole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類</w:t>
            </w:r>
            <w:r w:rsidR="00EC597F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藥品因其結構與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metronidazole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相似，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應留意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柯凱因氏症候群病人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用藥時的風險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。</w:t>
            </w:r>
          </w:p>
          <w:p w14:paraId="0C8EE384" w14:textId="0CD82B50" w:rsidR="00836EA9" w:rsidRPr="00EF47C6" w:rsidRDefault="00836EA9" w:rsidP="0028614E">
            <w:pPr>
              <w:pStyle w:val="a3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考量風險之嚴重性，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建議處方</w:t>
            </w:r>
            <w:r w:rsidRPr="00EF47C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metronidazole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和其他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nitroimidazole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類</w:t>
            </w:r>
            <w:r w:rsidR="00EC597F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</w:t>
            </w:r>
            <w:proofErr w:type="gramStart"/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於</w:t>
            </w:r>
            <w:r w:rsidRPr="00EF47C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柯凱因氏症候群</w:t>
            </w:r>
            <w:proofErr w:type="gramEnd"/>
            <w:r w:rsidRPr="00EF47C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病人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前，應</w:t>
            </w:r>
            <w:r w:rsidRPr="00EF47C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謹慎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評估病人用藥之</w:t>
            </w:r>
            <w:r w:rsidRPr="00EF47C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臨床效益及風險，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並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用藥</w:t>
            </w:r>
            <w:r w:rsidRPr="00EF47C6">
              <w:rPr>
                <w:rFonts w:ascii="Times New Roman" w:eastAsia="標楷體" w:hAnsi="Times New Roman"/>
                <w:kern w:val="0"/>
                <w:szCs w:val="24"/>
              </w:rPr>
              <w:t>前、治療期間及結束後，持續</w:t>
            </w:r>
            <w:r w:rsidR="00005CD1" w:rsidRPr="00EF47C6">
              <w:rPr>
                <w:rFonts w:ascii="Times New Roman" w:eastAsia="標楷體" w:hAnsi="Times New Roman"/>
                <w:kern w:val="0"/>
                <w:szCs w:val="24"/>
              </w:rPr>
              <w:t>監測</w:t>
            </w:r>
            <w:r w:rsidRPr="00EF47C6">
              <w:rPr>
                <w:rFonts w:ascii="Times New Roman" w:eastAsia="標楷體" w:hAnsi="Times New Roman"/>
                <w:kern w:val="0"/>
                <w:szCs w:val="24"/>
              </w:rPr>
              <w:t>肝功能，直至肝功能恢復至正常範圍或基準值。</w:t>
            </w:r>
            <w:r w:rsidRPr="00382A7F">
              <w:rPr>
                <w:rFonts w:ascii="Times New Roman" w:eastAsia="標楷體" w:hAnsi="Times New Roman"/>
                <w:kern w:val="0"/>
                <w:szCs w:val="24"/>
              </w:rPr>
              <w:t>若用藥期間病人的肝功能數值檢測結果顯著升高，</w:t>
            </w:r>
            <w:r w:rsidR="00382A7F" w:rsidRPr="00382A7F">
              <w:rPr>
                <w:rFonts w:ascii="Times New Roman" w:eastAsia="標楷體" w:hAnsi="Times New Roman" w:hint="eastAsia"/>
                <w:kern w:val="0"/>
                <w:szCs w:val="24"/>
              </w:rPr>
              <w:t>建議</w:t>
            </w:r>
            <w:r w:rsidRPr="00382A7F">
              <w:rPr>
                <w:rFonts w:ascii="Times New Roman" w:eastAsia="標楷體" w:hAnsi="Times New Roman"/>
                <w:kern w:val="0"/>
                <w:szCs w:val="24"/>
              </w:rPr>
              <w:t>應</w:t>
            </w:r>
            <w:r w:rsidR="00143547">
              <w:rPr>
                <w:rFonts w:ascii="Times New Roman" w:eastAsia="標楷體" w:hAnsi="Times New Roman" w:hint="eastAsia"/>
                <w:kern w:val="0"/>
                <w:szCs w:val="24"/>
              </w:rPr>
              <w:t>評估</w:t>
            </w:r>
            <w:r w:rsidR="00005CD1">
              <w:rPr>
                <w:rFonts w:ascii="Times New Roman" w:eastAsia="標楷體" w:hAnsi="Times New Roman" w:hint="eastAsia"/>
                <w:kern w:val="0"/>
                <w:szCs w:val="24"/>
              </w:rPr>
              <w:t>是否</w:t>
            </w:r>
            <w:r w:rsidRPr="00382A7F">
              <w:rPr>
                <w:rFonts w:ascii="Times New Roman" w:eastAsia="標楷體" w:hAnsi="Times New Roman"/>
                <w:kern w:val="0"/>
                <w:szCs w:val="24"/>
              </w:rPr>
              <w:t>停藥。</w:t>
            </w:r>
          </w:p>
          <w:p w14:paraId="60BAFE6A" w14:textId="473AD7A8" w:rsidR="00836EA9" w:rsidRPr="00E51B3E" w:rsidRDefault="0028614E" w:rsidP="0028614E">
            <w:pPr>
              <w:pStyle w:val="a3"/>
              <w:widowControl/>
              <w:numPr>
                <w:ilvl w:val="0"/>
                <w:numId w:val="1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EF47C6">
              <w:rPr>
                <w:rFonts w:ascii="Times New Roman" w:eastAsia="標楷體" w:hAnsi="Times New Roman"/>
                <w:kern w:val="0"/>
                <w:szCs w:val="24"/>
              </w:rPr>
              <w:t>應</w:t>
            </w:r>
            <w:r w:rsidR="00382A7F">
              <w:rPr>
                <w:rFonts w:ascii="Times New Roman" w:eastAsia="標楷體" w:hAnsi="Times New Roman" w:hint="eastAsia"/>
                <w:kern w:val="0"/>
                <w:szCs w:val="24"/>
              </w:rPr>
              <w:t>建議</w:t>
            </w:r>
            <w:r w:rsidR="00836EA9" w:rsidRPr="00EF47C6">
              <w:rPr>
                <w:rFonts w:ascii="Times New Roman" w:eastAsia="標楷體" w:hAnsi="Times New Roman"/>
                <w:kern w:val="0"/>
                <w:szCs w:val="24"/>
              </w:rPr>
              <w:t>柯凱因氏症候群病人</w:t>
            </w:r>
            <w:proofErr w:type="gramStart"/>
            <w:r w:rsidR="00836EA9">
              <w:rPr>
                <w:rFonts w:ascii="Times New Roman" w:eastAsia="標楷體" w:hAnsi="Times New Roman" w:hint="eastAsia"/>
                <w:kern w:val="0"/>
                <w:szCs w:val="24"/>
              </w:rPr>
              <w:t>及其</w:t>
            </w:r>
            <w:r w:rsidR="00836EA9" w:rsidRPr="00EF47C6">
              <w:rPr>
                <w:rFonts w:ascii="Times New Roman" w:eastAsia="標楷體" w:hAnsi="Times New Roman"/>
                <w:kern w:val="0"/>
                <w:szCs w:val="24"/>
              </w:rPr>
              <w:t>照護</w:t>
            </w:r>
            <w:proofErr w:type="gramEnd"/>
            <w:r w:rsidR="00836EA9" w:rsidRPr="00EF47C6">
              <w:rPr>
                <w:rFonts w:ascii="Times New Roman" w:eastAsia="標楷體" w:hAnsi="Times New Roman"/>
                <w:kern w:val="0"/>
                <w:szCs w:val="24"/>
              </w:rPr>
              <w:t>者，</w:t>
            </w:r>
            <w:r w:rsidR="00836EA9">
              <w:rPr>
                <w:rFonts w:ascii="Times New Roman" w:eastAsia="標楷體" w:hAnsi="Times New Roman" w:hint="eastAsia"/>
                <w:kern w:val="0"/>
                <w:szCs w:val="24"/>
              </w:rPr>
              <w:t>若</w:t>
            </w:r>
            <w:r w:rsidR="00836EA9" w:rsidRPr="00EF47C6">
              <w:rPr>
                <w:rFonts w:ascii="Times New Roman" w:eastAsia="標楷體" w:hAnsi="Times New Roman"/>
                <w:kern w:val="0"/>
                <w:szCs w:val="24"/>
              </w:rPr>
              <w:t>用藥後出現任何</w:t>
            </w:r>
            <w:proofErr w:type="gramStart"/>
            <w:r w:rsidR="00836EA9" w:rsidRPr="00EF47C6">
              <w:rPr>
                <w:rFonts w:ascii="Times New Roman" w:eastAsia="標楷體" w:hAnsi="Times New Roman"/>
                <w:kern w:val="0"/>
                <w:szCs w:val="24"/>
              </w:rPr>
              <w:t>可能與肝損傷</w:t>
            </w:r>
            <w:proofErr w:type="gramEnd"/>
            <w:r w:rsidR="00836EA9" w:rsidRPr="00EF47C6">
              <w:rPr>
                <w:rFonts w:ascii="Times New Roman" w:eastAsia="標楷體" w:hAnsi="Times New Roman"/>
                <w:kern w:val="0"/>
                <w:szCs w:val="24"/>
              </w:rPr>
              <w:t>相關的症狀或徵象，應立即尋求醫療協助。</w:t>
            </w:r>
          </w:p>
          <w:p w14:paraId="00BF22F2" w14:textId="77777777" w:rsidR="00836EA9" w:rsidRPr="00FA2FFD" w:rsidRDefault="00836EA9" w:rsidP="00836EA9">
            <w:pPr>
              <w:widowControl/>
              <w:numPr>
                <w:ilvl w:val="0"/>
                <w:numId w:val="1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FA2FFD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622DCA6C" w14:textId="77777777" w:rsidR="00143547" w:rsidRDefault="00836EA9" w:rsidP="00836EA9">
            <w:pPr>
              <w:pStyle w:val="a3"/>
              <w:numPr>
                <w:ilvl w:val="0"/>
                <w:numId w:val="3"/>
              </w:numPr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柯凱因氏症候群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病人使用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m</w:t>
            </w:r>
            <w:r>
              <w:rPr>
                <w:rFonts w:ascii="Times New Roman" w:eastAsia="標楷體" w:hAnsi="Times New Roman"/>
                <w:kern w:val="0"/>
                <w:szCs w:val="24"/>
              </w:rPr>
              <w:t>etronidazole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或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其他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nitroimidazole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類</w:t>
            </w:r>
            <w:r w:rsidR="00EC597F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</w:t>
            </w:r>
            <w:r w:rsidRPr="00561C6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</w:t>
            </w:r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，可能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具有</w:t>
            </w:r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發生嚴重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且危及生命之肝毒性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proofErr w:type="gramStart"/>
            <w:r>
              <w:rPr>
                <w:rFonts w:ascii="Times New Roman" w:eastAsia="標楷體" w:hAnsi="Times New Roman" w:hint="eastAsia"/>
                <w:kern w:val="0"/>
                <w:szCs w:val="24"/>
              </w:rPr>
              <w:t>急性</w:t>
            </w:r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肝</w:t>
            </w:r>
            <w:proofErr w:type="gramEnd"/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衰竭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的風險</w:t>
            </w:r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</w:p>
          <w:p w14:paraId="4F960831" w14:textId="54E5B859" w:rsidR="00836EA9" w:rsidRPr="00143547" w:rsidRDefault="00836EA9" w:rsidP="00143547">
            <w:pPr>
              <w:pStyle w:val="a3"/>
              <w:numPr>
                <w:ilvl w:val="0"/>
                <w:numId w:val="3"/>
              </w:numPr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若</w:t>
            </w:r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您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或您的照護對象</w:t>
            </w:r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患有柯凱因氏症候群，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就醫時請務必告知醫療人員</w:t>
            </w:r>
            <w:r w:rsidRPr="00E51B3E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="00143547">
              <w:rPr>
                <w:rFonts w:ascii="Times New Roman" w:eastAsia="標楷體" w:hAnsi="Times New Roman" w:hint="eastAsia"/>
                <w:kern w:val="0"/>
                <w:szCs w:val="24"/>
              </w:rPr>
              <w:t>另於</w:t>
            </w:r>
            <w:r w:rsidRPr="00143547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Pr="00143547">
              <w:rPr>
                <w:rFonts w:ascii="Times New Roman" w:eastAsia="標楷體" w:hAnsi="Times New Roman"/>
                <w:kern w:val="0"/>
                <w:szCs w:val="24"/>
              </w:rPr>
              <w:t>metronidazole</w:t>
            </w:r>
            <w:r w:rsidRPr="00143547">
              <w:rPr>
                <w:rFonts w:ascii="Times New Roman" w:eastAsia="標楷體" w:hAnsi="Times New Roman" w:hint="eastAsia"/>
                <w:kern w:val="0"/>
                <w:szCs w:val="24"/>
              </w:rPr>
              <w:t>治療期間出現任何疑似肝損傷的症狀或徵兆</w:t>
            </w:r>
            <w:r w:rsidRPr="00143547">
              <w:rPr>
                <w:rFonts w:ascii="標楷體" w:eastAsia="標楷體" w:hAnsi="標楷體" w:hint="eastAsia"/>
                <w:kern w:val="0"/>
                <w:szCs w:val="24"/>
              </w:rPr>
              <w:t>，如</w:t>
            </w:r>
            <w:r w:rsidRPr="00143547">
              <w:rPr>
                <w:rFonts w:ascii="Times New Roman" w:eastAsia="標楷體" w:hAnsi="Times New Roman" w:hint="eastAsia"/>
                <w:kern w:val="0"/>
                <w:szCs w:val="24"/>
              </w:rPr>
              <w:t>腹痛、食慾不振、噁心、嘔吐、發燒、不適、疲倦或黃疸（如皮膚或眼白發黃）</w:t>
            </w:r>
            <w:r w:rsidRPr="00143547">
              <w:rPr>
                <w:rFonts w:ascii="標楷體" w:eastAsia="標楷體" w:hAnsi="標楷體" w:hint="eastAsia"/>
                <w:kern w:val="0"/>
                <w:szCs w:val="24"/>
              </w:rPr>
              <w:t>等</w:t>
            </w:r>
            <w:r w:rsidRPr="00143547">
              <w:rPr>
                <w:rFonts w:ascii="Times New Roman" w:eastAsia="標楷體" w:hAnsi="Times New Roman" w:hint="eastAsia"/>
                <w:kern w:val="0"/>
                <w:szCs w:val="24"/>
              </w:rPr>
              <w:t>，請立即尋求醫療協助。</w:t>
            </w:r>
          </w:p>
          <w:p w14:paraId="49C52301" w14:textId="77777777" w:rsidR="00836EA9" w:rsidRPr="00CB258E" w:rsidRDefault="00836EA9" w:rsidP="00836EA9">
            <w:pPr>
              <w:pStyle w:val="a3"/>
              <w:numPr>
                <w:ilvl w:val="0"/>
                <w:numId w:val="3"/>
              </w:numPr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6C55B8">
              <w:rPr>
                <w:rFonts w:ascii="Times New Roman" w:eastAsia="標楷體" w:hAnsi="Times New Roman" w:hint="eastAsia"/>
                <w:kern w:val="0"/>
                <w:szCs w:val="24"/>
              </w:rPr>
              <w:t>若對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於</w:t>
            </w:r>
            <w:r w:rsidRPr="006C55B8">
              <w:rPr>
                <w:rFonts w:ascii="Times New Roman" w:eastAsia="標楷體" w:hAnsi="Times New Roman" w:hint="eastAsia"/>
                <w:kern w:val="0"/>
                <w:szCs w:val="24"/>
              </w:rPr>
              <w:t>用藥有任何的疑問或疑慮，請諮詢醫療人員。</w:t>
            </w:r>
          </w:p>
          <w:p w14:paraId="0AA4B1D9" w14:textId="2ADCCA16" w:rsidR="00836EA9" w:rsidRPr="000F0F42" w:rsidRDefault="00836EA9" w:rsidP="000F0F42">
            <w:pPr>
              <w:widowControl/>
              <w:numPr>
                <w:ilvl w:val="0"/>
                <w:numId w:val="1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0F0F42">
              <w:rPr>
                <w:rFonts w:ascii="Times New Roman" w:eastAsia="標楷體" w:hAnsi="Times New Roman"/>
                <w:kern w:val="0"/>
                <w:szCs w:val="24"/>
              </w:rPr>
              <w:t>醫療人員或病人懷疑因為使用（服用）藥品導致不良反應發生時，請立即通報給衛生</w:t>
            </w:r>
            <w:proofErr w:type="gramStart"/>
            <w:r w:rsidRPr="000F0F42">
              <w:rPr>
                <w:rFonts w:ascii="Times New Roman" w:eastAsia="標楷體" w:hAnsi="Times New Roman"/>
                <w:kern w:val="0"/>
                <w:szCs w:val="24"/>
              </w:rPr>
              <w:t>福利部所建置</w:t>
            </w:r>
            <w:proofErr w:type="gramEnd"/>
            <w:r w:rsidRPr="000F0F42">
              <w:rPr>
                <w:rFonts w:ascii="Times New Roman" w:eastAsia="標楷體" w:hAnsi="Times New Roman"/>
                <w:kern w:val="0"/>
                <w:szCs w:val="24"/>
              </w:rPr>
              <w:t>之全國藥物不良反應通報中心，並副知所屬廠商，藥物不良反應通報專線</w:t>
            </w:r>
            <w:r w:rsidRPr="000F0F42">
              <w:rPr>
                <w:rFonts w:ascii="Times New Roman" w:eastAsia="標楷體" w:hAnsi="Times New Roman"/>
                <w:kern w:val="0"/>
                <w:szCs w:val="24"/>
              </w:rPr>
              <w:t>02-2396-0100</w:t>
            </w:r>
            <w:r w:rsidRPr="000F0F42">
              <w:rPr>
                <w:rFonts w:ascii="Times New Roman" w:eastAsia="標楷體" w:hAnsi="Times New Roman"/>
                <w:kern w:val="0"/>
                <w:szCs w:val="24"/>
              </w:rPr>
              <w:t>，網站：</w:t>
            </w:r>
            <w:hyperlink r:id="rId9" w:history="1">
              <w:r w:rsidRPr="000F0F42">
                <w:rPr>
                  <w:kern w:val="0"/>
                  <w:szCs w:val="24"/>
                </w:rPr>
                <w:t>https://adr.fda.gov.tw</w:t>
              </w:r>
            </w:hyperlink>
            <w:r w:rsidRPr="000F0F42">
              <w:rPr>
                <w:rFonts w:ascii="Times New Roman" w:eastAsia="標楷體" w:hAnsi="Times New Roman"/>
                <w:kern w:val="0"/>
                <w:szCs w:val="24"/>
              </w:rPr>
              <w:t>；衛生福利部食品藥物管理署獲知藥品安全</w:t>
            </w:r>
            <w:r w:rsidRPr="000F0F42">
              <w:rPr>
                <w:rFonts w:ascii="Times New Roman" w:eastAsia="標楷體" w:hAnsi="Times New Roman"/>
                <w:kern w:val="0"/>
                <w:szCs w:val="24"/>
              </w:rPr>
              <w:lastRenderedPageBreak/>
              <w:t>訊息時，</w:t>
            </w:r>
            <w:proofErr w:type="gramStart"/>
            <w:r w:rsidRPr="000F0F42">
              <w:rPr>
                <w:rFonts w:ascii="Times New Roman" w:eastAsia="標楷體" w:hAnsi="Times New Roman"/>
                <w:kern w:val="0"/>
                <w:szCs w:val="24"/>
              </w:rPr>
              <w:t>均會蒐集</w:t>
            </w:r>
            <w:proofErr w:type="gramEnd"/>
            <w:r w:rsidRPr="000F0F42">
              <w:rPr>
                <w:rFonts w:ascii="Times New Roman" w:eastAsia="標楷體" w:hAnsi="Times New Roman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32254D4C" w14:textId="33E35C45" w:rsidR="00C50BFE" w:rsidRDefault="00C50BFE" w:rsidP="00C50BFE">
      <w:pPr>
        <w:rPr>
          <w:rFonts w:hint="eastAsia"/>
        </w:rPr>
      </w:pPr>
    </w:p>
    <w:sectPr w:rsidR="00C50BFE" w:rsidSect="00C50BFE">
      <w:headerReference w:type="default" r:id="rId10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E378B" w14:textId="77777777" w:rsidR="00921061" w:rsidRDefault="00921061" w:rsidP="004761F0">
      <w:r>
        <w:separator/>
      </w:r>
    </w:p>
  </w:endnote>
  <w:endnote w:type="continuationSeparator" w:id="0">
    <w:p w14:paraId="37755F59" w14:textId="77777777" w:rsidR="00921061" w:rsidRDefault="00921061" w:rsidP="0047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C2445" w14:textId="77777777" w:rsidR="00921061" w:rsidRDefault="00921061" w:rsidP="004761F0">
      <w:r>
        <w:separator/>
      </w:r>
    </w:p>
  </w:footnote>
  <w:footnote w:type="continuationSeparator" w:id="0">
    <w:p w14:paraId="23E6C004" w14:textId="77777777" w:rsidR="00921061" w:rsidRDefault="00921061" w:rsidP="004761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DAC58" w14:textId="77777777" w:rsidR="00C50BFE" w:rsidRPr="00C50BFE" w:rsidRDefault="00C50BFE" w:rsidP="00C50BF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11971"/>
    <w:multiLevelType w:val="hybridMultilevel"/>
    <w:tmpl w:val="410E481E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CEF7B5B"/>
    <w:multiLevelType w:val="hybridMultilevel"/>
    <w:tmpl w:val="6E3200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D9A0784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2A4541E"/>
    <w:multiLevelType w:val="hybridMultilevel"/>
    <w:tmpl w:val="963627CE"/>
    <w:lvl w:ilvl="0" w:tplc="5EFC6E82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94071C8"/>
    <w:multiLevelType w:val="hybridMultilevel"/>
    <w:tmpl w:val="A7BE8E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9A17636"/>
    <w:multiLevelType w:val="hybridMultilevel"/>
    <w:tmpl w:val="5316F5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6203E0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E28018F"/>
    <w:multiLevelType w:val="hybridMultilevel"/>
    <w:tmpl w:val="FC281E1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6D565B65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D806683"/>
    <w:multiLevelType w:val="hybridMultilevel"/>
    <w:tmpl w:val="ED5EC0A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7F9A136C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6"/>
  </w:num>
  <w:num w:numId="5">
    <w:abstractNumId w:val="7"/>
  </w:num>
  <w:num w:numId="6">
    <w:abstractNumId w:val="11"/>
  </w:num>
  <w:num w:numId="7">
    <w:abstractNumId w:val="5"/>
  </w:num>
  <w:num w:numId="8">
    <w:abstractNumId w:val="1"/>
  </w:num>
  <w:num w:numId="9">
    <w:abstractNumId w:val="9"/>
  </w:num>
  <w:num w:numId="10">
    <w:abstractNumId w:val="8"/>
  </w:num>
  <w:num w:numId="11">
    <w:abstractNumId w:val="3"/>
  </w:num>
  <w:num w:numId="12">
    <w:abstractNumId w:val="1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53"/>
    <w:rsid w:val="00005CD1"/>
    <w:rsid w:val="00012288"/>
    <w:rsid w:val="0002468F"/>
    <w:rsid w:val="00034D26"/>
    <w:rsid w:val="00037D8B"/>
    <w:rsid w:val="00040346"/>
    <w:rsid w:val="0004143B"/>
    <w:rsid w:val="000538A4"/>
    <w:rsid w:val="000565E4"/>
    <w:rsid w:val="00060161"/>
    <w:rsid w:val="00060E9E"/>
    <w:rsid w:val="00063E2C"/>
    <w:rsid w:val="00076D65"/>
    <w:rsid w:val="0008633A"/>
    <w:rsid w:val="000872E2"/>
    <w:rsid w:val="000977BD"/>
    <w:rsid w:val="000A3BEC"/>
    <w:rsid w:val="000A71F9"/>
    <w:rsid w:val="000B3078"/>
    <w:rsid w:val="000B332E"/>
    <w:rsid w:val="000B3480"/>
    <w:rsid w:val="000B367A"/>
    <w:rsid w:val="000B37DA"/>
    <w:rsid w:val="000B3A53"/>
    <w:rsid w:val="000B459F"/>
    <w:rsid w:val="000C0831"/>
    <w:rsid w:val="000C27BF"/>
    <w:rsid w:val="000C4D00"/>
    <w:rsid w:val="000C5F6B"/>
    <w:rsid w:val="000C65C7"/>
    <w:rsid w:val="000D3605"/>
    <w:rsid w:val="000D64E7"/>
    <w:rsid w:val="000D66B3"/>
    <w:rsid w:val="000D7623"/>
    <w:rsid w:val="000E2BF1"/>
    <w:rsid w:val="000E4127"/>
    <w:rsid w:val="000E67D8"/>
    <w:rsid w:val="000F0F42"/>
    <w:rsid w:val="000F7C48"/>
    <w:rsid w:val="00101300"/>
    <w:rsid w:val="00111223"/>
    <w:rsid w:val="001134B3"/>
    <w:rsid w:val="00116D39"/>
    <w:rsid w:val="001170E2"/>
    <w:rsid w:val="001216FA"/>
    <w:rsid w:val="00122D24"/>
    <w:rsid w:val="001246D6"/>
    <w:rsid w:val="00131463"/>
    <w:rsid w:val="001320B8"/>
    <w:rsid w:val="00142102"/>
    <w:rsid w:val="00143547"/>
    <w:rsid w:val="00145E3F"/>
    <w:rsid w:val="00152CDF"/>
    <w:rsid w:val="00154075"/>
    <w:rsid w:val="001574FF"/>
    <w:rsid w:val="00160448"/>
    <w:rsid w:val="00162863"/>
    <w:rsid w:val="00163FD2"/>
    <w:rsid w:val="0016460C"/>
    <w:rsid w:val="001702AB"/>
    <w:rsid w:val="0017378C"/>
    <w:rsid w:val="00180481"/>
    <w:rsid w:val="00183A82"/>
    <w:rsid w:val="00183BFC"/>
    <w:rsid w:val="00185DE5"/>
    <w:rsid w:val="001919D1"/>
    <w:rsid w:val="001972FE"/>
    <w:rsid w:val="001A0C30"/>
    <w:rsid w:val="001A0EF6"/>
    <w:rsid w:val="001A2AFF"/>
    <w:rsid w:val="001A5E79"/>
    <w:rsid w:val="001A79F2"/>
    <w:rsid w:val="001A7C1F"/>
    <w:rsid w:val="001B2DC4"/>
    <w:rsid w:val="001C00EE"/>
    <w:rsid w:val="001C3AE2"/>
    <w:rsid w:val="001D0624"/>
    <w:rsid w:val="001D092F"/>
    <w:rsid w:val="001E1A82"/>
    <w:rsid w:val="001E1E79"/>
    <w:rsid w:val="001E2019"/>
    <w:rsid w:val="001E3CF3"/>
    <w:rsid w:val="001E713E"/>
    <w:rsid w:val="001F2067"/>
    <w:rsid w:val="001F4283"/>
    <w:rsid w:val="001F68C3"/>
    <w:rsid w:val="00212161"/>
    <w:rsid w:val="00216CBB"/>
    <w:rsid w:val="002170B5"/>
    <w:rsid w:val="002207F1"/>
    <w:rsid w:val="00224805"/>
    <w:rsid w:val="0023505E"/>
    <w:rsid w:val="002354FD"/>
    <w:rsid w:val="00240094"/>
    <w:rsid w:val="00244496"/>
    <w:rsid w:val="002508F5"/>
    <w:rsid w:val="002534FA"/>
    <w:rsid w:val="00254470"/>
    <w:rsid w:val="00256ABD"/>
    <w:rsid w:val="00260A8C"/>
    <w:rsid w:val="0026262E"/>
    <w:rsid w:val="00264E1B"/>
    <w:rsid w:val="00271219"/>
    <w:rsid w:val="00271C9B"/>
    <w:rsid w:val="002772DE"/>
    <w:rsid w:val="0028255B"/>
    <w:rsid w:val="0028614E"/>
    <w:rsid w:val="002903EF"/>
    <w:rsid w:val="00290585"/>
    <w:rsid w:val="0029211E"/>
    <w:rsid w:val="00292385"/>
    <w:rsid w:val="002A38BE"/>
    <w:rsid w:val="002A3DF2"/>
    <w:rsid w:val="002A65FC"/>
    <w:rsid w:val="002A67A2"/>
    <w:rsid w:val="002A7F91"/>
    <w:rsid w:val="002B26B0"/>
    <w:rsid w:val="002B3F72"/>
    <w:rsid w:val="002C1306"/>
    <w:rsid w:val="002D1896"/>
    <w:rsid w:val="002D28BD"/>
    <w:rsid w:val="002D41CF"/>
    <w:rsid w:val="002E68AE"/>
    <w:rsid w:val="002F23FA"/>
    <w:rsid w:val="002F70FB"/>
    <w:rsid w:val="00302D43"/>
    <w:rsid w:val="00304994"/>
    <w:rsid w:val="00306254"/>
    <w:rsid w:val="003141CF"/>
    <w:rsid w:val="00317D58"/>
    <w:rsid w:val="00324B5A"/>
    <w:rsid w:val="00325BD4"/>
    <w:rsid w:val="003346E9"/>
    <w:rsid w:val="00367D26"/>
    <w:rsid w:val="00376861"/>
    <w:rsid w:val="00376F0A"/>
    <w:rsid w:val="003824AF"/>
    <w:rsid w:val="00382A7F"/>
    <w:rsid w:val="00386E91"/>
    <w:rsid w:val="003904DE"/>
    <w:rsid w:val="003A085E"/>
    <w:rsid w:val="003A20E4"/>
    <w:rsid w:val="003A2BE9"/>
    <w:rsid w:val="003A5C13"/>
    <w:rsid w:val="003A6C18"/>
    <w:rsid w:val="003A76F5"/>
    <w:rsid w:val="003B0273"/>
    <w:rsid w:val="003B37CC"/>
    <w:rsid w:val="003B46BA"/>
    <w:rsid w:val="003C15D0"/>
    <w:rsid w:val="003D15BB"/>
    <w:rsid w:val="003D3F6B"/>
    <w:rsid w:val="003D43A8"/>
    <w:rsid w:val="003D545A"/>
    <w:rsid w:val="003D7743"/>
    <w:rsid w:val="003D7CA0"/>
    <w:rsid w:val="003E3A3F"/>
    <w:rsid w:val="003E3C57"/>
    <w:rsid w:val="003E40BA"/>
    <w:rsid w:val="003F084D"/>
    <w:rsid w:val="003F16D2"/>
    <w:rsid w:val="003F2028"/>
    <w:rsid w:val="003F5619"/>
    <w:rsid w:val="00400610"/>
    <w:rsid w:val="00400D3B"/>
    <w:rsid w:val="00405952"/>
    <w:rsid w:val="004106BA"/>
    <w:rsid w:val="00412C47"/>
    <w:rsid w:val="0042040A"/>
    <w:rsid w:val="004218EF"/>
    <w:rsid w:val="004258C3"/>
    <w:rsid w:val="00432606"/>
    <w:rsid w:val="004373B4"/>
    <w:rsid w:val="00440111"/>
    <w:rsid w:val="00440F51"/>
    <w:rsid w:val="0045692F"/>
    <w:rsid w:val="00462E85"/>
    <w:rsid w:val="004651F3"/>
    <w:rsid w:val="0047151D"/>
    <w:rsid w:val="00474F50"/>
    <w:rsid w:val="004761F0"/>
    <w:rsid w:val="0048682C"/>
    <w:rsid w:val="00491CFD"/>
    <w:rsid w:val="00493E73"/>
    <w:rsid w:val="00496F61"/>
    <w:rsid w:val="004A1DE9"/>
    <w:rsid w:val="004A42CB"/>
    <w:rsid w:val="004A6823"/>
    <w:rsid w:val="004C56B8"/>
    <w:rsid w:val="004C59BA"/>
    <w:rsid w:val="004C6997"/>
    <w:rsid w:val="004C6DEF"/>
    <w:rsid w:val="004D31EC"/>
    <w:rsid w:val="004E1833"/>
    <w:rsid w:val="004E3A8A"/>
    <w:rsid w:val="004E4217"/>
    <w:rsid w:val="004E44CD"/>
    <w:rsid w:val="004E4565"/>
    <w:rsid w:val="004E50E4"/>
    <w:rsid w:val="004F03CB"/>
    <w:rsid w:val="00510251"/>
    <w:rsid w:val="00521CBB"/>
    <w:rsid w:val="00523805"/>
    <w:rsid w:val="00524B55"/>
    <w:rsid w:val="00527813"/>
    <w:rsid w:val="00530A6E"/>
    <w:rsid w:val="00532D51"/>
    <w:rsid w:val="00541901"/>
    <w:rsid w:val="00544378"/>
    <w:rsid w:val="005501B7"/>
    <w:rsid w:val="0055156F"/>
    <w:rsid w:val="00554630"/>
    <w:rsid w:val="005549EF"/>
    <w:rsid w:val="00561C66"/>
    <w:rsid w:val="00565DBC"/>
    <w:rsid w:val="0056730C"/>
    <w:rsid w:val="00567A6E"/>
    <w:rsid w:val="00567B8A"/>
    <w:rsid w:val="00570F42"/>
    <w:rsid w:val="00574523"/>
    <w:rsid w:val="00583771"/>
    <w:rsid w:val="00583D0F"/>
    <w:rsid w:val="005850ED"/>
    <w:rsid w:val="005866E3"/>
    <w:rsid w:val="00590A28"/>
    <w:rsid w:val="00592B86"/>
    <w:rsid w:val="005A4472"/>
    <w:rsid w:val="005A4EE2"/>
    <w:rsid w:val="005A5186"/>
    <w:rsid w:val="005A58A9"/>
    <w:rsid w:val="005A632C"/>
    <w:rsid w:val="005A6DF3"/>
    <w:rsid w:val="005B0AA0"/>
    <w:rsid w:val="005B18FA"/>
    <w:rsid w:val="005B2AC9"/>
    <w:rsid w:val="005B2BB5"/>
    <w:rsid w:val="005B7341"/>
    <w:rsid w:val="005C0773"/>
    <w:rsid w:val="005C0FCC"/>
    <w:rsid w:val="005C206F"/>
    <w:rsid w:val="005D045A"/>
    <w:rsid w:val="005D30DF"/>
    <w:rsid w:val="005E3C80"/>
    <w:rsid w:val="00600C8B"/>
    <w:rsid w:val="00602791"/>
    <w:rsid w:val="00603B4F"/>
    <w:rsid w:val="00614558"/>
    <w:rsid w:val="00615F1B"/>
    <w:rsid w:val="00621028"/>
    <w:rsid w:val="006215CA"/>
    <w:rsid w:val="006227EE"/>
    <w:rsid w:val="00624146"/>
    <w:rsid w:val="006258CD"/>
    <w:rsid w:val="006269A4"/>
    <w:rsid w:val="006274AD"/>
    <w:rsid w:val="00633674"/>
    <w:rsid w:val="00646B6F"/>
    <w:rsid w:val="006519B9"/>
    <w:rsid w:val="00656893"/>
    <w:rsid w:val="0066363E"/>
    <w:rsid w:val="00664C65"/>
    <w:rsid w:val="00670FE2"/>
    <w:rsid w:val="006710CE"/>
    <w:rsid w:val="00671905"/>
    <w:rsid w:val="006746A7"/>
    <w:rsid w:val="00675E8F"/>
    <w:rsid w:val="00676EE1"/>
    <w:rsid w:val="00682C31"/>
    <w:rsid w:val="00683E19"/>
    <w:rsid w:val="006879A6"/>
    <w:rsid w:val="006911B2"/>
    <w:rsid w:val="00693785"/>
    <w:rsid w:val="00697C58"/>
    <w:rsid w:val="006A4FE1"/>
    <w:rsid w:val="006B2C18"/>
    <w:rsid w:val="006B64DB"/>
    <w:rsid w:val="006B7466"/>
    <w:rsid w:val="006C09C9"/>
    <w:rsid w:val="006C55B8"/>
    <w:rsid w:val="006C7D7E"/>
    <w:rsid w:val="006D5069"/>
    <w:rsid w:val="006E2EEE"/>
    <w:rsid w:val="006E37A4"/>
    <w:rsid w:val="006E53F3"/>
    <w:rsid w:val="006E6867"/>
    <w:rsid w:val="006F2EC2"/>
    <w:rsid w:val="006F57BF"/>
    <w:rsid w:val="006F6003"/>
    <w:rsid w:val="006F7E39"/>
    <w:rsid w:val="00707EDB"/>
    <w:rsid w:val="00713BB5"/>
    <w:rsid w:val="007142B1"/>
    <w:rsid w:val="007143CC"/>
    <w:rsid w:val="007146F4"/>
    <w:rsid w:val="007159F2"/>
    <w:rsid w:val="00733539"/>
    <w:rsid w:val="00733B1E"/>
    <w:rsid w:val="00740852"/>
    <w:rsid w:val="00742215"/>
    <w:rsid w:val="00744289"/>
    <w:rsid w:val="00744724"/>
    <w:rsid w:val="00753575"/>
    <w:rsid w:val="0075387A"/>
    <w:rsid w:val="00753E6C"/>
    <w:rsid w:val="0075759E"/>
    <w:rsid w:val="00760D9A"/>
    <w:rsid w:val="00767416"/>
    <w:rsid w:val="00770685"/>
    <w:rsid w:val="0077121D"/>
    <w:rsid w:val="007904B8"/>
    <w:rsid w:val="00790553"/>
    <w:rsid w:val="007A2D66"/>
    <w:rsid w:val="007A2E52"/>
    <w:rsid w:val="007A6DB4"/>
    <w:rsid w:val="007B540C"/>
    <w:rsid w:val="007B58AF"/>
    <w:rsid w:val="007B6582"/>
    <w:rsid w:val="007D24E5"/>
    <w:rsid w:val="007D3D4E"/>
    <w:rsid w:val="007D5BB9"/>
    <w:rsid w:val="007D5EC0"/>
    <w:rsid w:val="007E22E3"/>
    <w:rsid w:val="007E45E5"/>
    <w:rsid w:val="007F4460"/>
    <w:rsid w:val="007F4C3A"/>
    <w:rsid w:val="007F553E"/>
    <w:rsid w:val="00805D0A"/>
    <w:rsid w:val="008130C0"/>
    <w:rsid w:val="00813141"/>
    <w:rsid w:val="00814850"/>
    <w:rsid w:val="00816FFB"/>
    <w:rsid w:val="00822957"/>
    <w:rsid w:val="00822C4D"/>
    <w:rsid w:val="00825246"/>
    <w:rsid w:val="00833BB5"/>
    <w:rsid w:val="00833FE5"/>
    <w:rsid w:val="00836EA9"/>
    <w:rsid w:val="0084075C"/>
    <w:rsid w:val="00850845"/>
    <w:rsid w:val="00856E61"/>
    <w:rsid w:val="00861AA1"/>
    <w:rsid w:val="00861E4E"/>
    <w:rsid w:val="00865B0A"/>
    <w:rsid w:val="00874080"/>
    <w:rsid w:val="00876394"/>
    <w:rsid w:val="008947EC"/>
    <w:rsid w:val="008950C2"/>
    <w:rsid w:val="008A08F1"/>
    <w:rsid w:val="008A79C9"/>
    <w:rsid w:val="008A7DB0"/>
    <w:rsid w:val="008C0FF5"/>
    <w:rsid w:val="008D2006"/>
    <w:rsid w:val="008D3E7C"/>
    <w:rsid w:val="008D4D03"/>
    <w:rsid w:val="008D4E8A"/>
    <w:rsid w:val="008E2E5F"/>
    <w:rsid w:val="008E3249"/>
    <w:rsid w:val="008F26FB"/>
    <w:rsid w:val="008F4E2D"/>
    <w:rsid w:val="008F7FF7"/>
    <w:rsid w:val="00900E21"/>
    <w:rsid w:val="00903F75"/>
    <w:rsid w:val="00905C81"/>
    <w:rsid w:val="00905F2F"/>
    <w:rsid w:val="00913A45"/>
    <w:rsid w:val="0091414D"/>
    <w:rsid w:val="00921061"/>
    <w:rsid w:val="00921540"/>
    <w:rsid w:val="00921807"/>
    <w:rsid w:val="009271D0"/>
    <w:rsid w:val="00927B4D"/>
    <w:rsid w:val="0093324D"/>
    <w:rsid w:val="00933FE0"/>
    <w:rsid w:val="0093609A"/>
    <w:rsid w:val="00936CE6"/>
    <w:rsid w:val="00940463"/>
    <w:rsid w:val="0094065A"/>
    <w:rsid w:val="00941558"/>
    <w:rsid w:val="00947D8F"/>
    <w:rsid w:val="00953237"/>
    <w:rsid w:val="009545DD"/>
    <w:rsid w:val="00955063"/>
    <w:rsid w:val="00962D66"/>
    <w:rsid w:val="0096787B"/>
    <w:rsid w:val="00974986"/>
    <w:rsid w:val="00987989"/>
    <w:rsid w:val="0099008E"/>
    <w:rsid w:val="00997BE1"/>
    <w:rsid w:val="009A19D2"/>
    <w:rsid w:val="009C0874"/>
    <w:rsid w:val="009C214F"/>
    <w:rsid w:val="009C574F"/>
    <w:rsid w:val="009D10EB"/>
    <w:rsid w:val="009D2AA4"/>
    <w:rsid w:val="009D6000"/>
    <w:rsid w:val="009E65B4"/>
    <w:rsid w:val="009F0188"/>
    <w:rsid w:val="009F2D94"/>
    <w:rsid w:val="009F3BCB"/>
    <w:rsid w:val="009F4B9D"/>
    <w:rsid w:val="009F5320"/>
    <w:rsid w:val="00A012CE"/>
    <w:rsid w:val="00A07C4C"/>
    <w:rsid w:val="00A12E66"/>
    <w:rsid w:val="00A2192B"/>
    <w:rsid w:val="00A302F1"/>
    <w:rsid w:val="00A31B55"/>
    <w:rsid w:val="00A35197"/>
    <w:rsid w:val="00A44A80"/>
    <w:rsid w:val="00A454CC"/>
    <w:rsid w:val="00A46361"/>
    <w:rsid w:val="00A527AC"/>
    <w:rsid w:val="00A541F5"/>
    <w:rsid w:val="00A5506E"/>
    <w:rsid w:val="00A552AC"/>
    <w:rsid w:val="00A60065"/>
    <w:rsid w:val="00A609A9"/>
    <w:rsid w:val="00A60A10"/>
    <w:rsid w:val="00A60B5D"/>
    <w:rsid w:val="00A62FF2"/>
    <w:rsid w:val="00A654E0"/>
    <w:rsid w:val="00A675E9"/>
    <w:rsid w:val="00A80FF3"/>
    <w:rsid w:val="00A8159B"/>
    <w:rsid w:val="00A81D8D"/>
    <w:rsid w:val="00A8277D"/>
    <w:rsid w:val="00A86F40"/>
    <w:rsid w:val="00A9371F"/>
    <w:rsid w:val="00AA1A8F"/>
    <w:rsid w:val="00AA3F20"/>
    <w:rsid w:val="00AA4F1D"/>
    <w:rsid w:val="00AA5E00"/>
    <w:rsid w:val="00AA704B"/>
    <w:rsid w:val="00AA75C0"/>
    <w:rsid w:val="00AA7CD3"/>
    <w:rsid w:val="00AB5AA0"/>
    <w:rsid w:val="00AC2769"/>
    <w:rsid w:val="00AD21CA"/>
    <w:rsid w:val="00AD63DB"/>
    <w:rsid w:val="00AE1C20"/>
    <w:rsid w:val="00AE548F"/>
    <w:rsid w:val="00AE6A92"/>
    <w:rsid w:val="00AF064A"/>
    <w:rsid w:val="00AF1117"/>
    <w:rsid w:val="00AF4415"/>
    <w:rsid w:val="00AF4C91"/>
    <w:rsid w:val="00AF7E73"/>
    <w:rsid w:val="00B0187B"/>
    <w:rsid w:val="00B07697"/>
    <w:rsid w:val="00B10D11"/>
    <w:rsid w:val="00B11590"/>
    <w:rsid w:val="00B11A22"/>
    <w:rsid w:val="00B14BFC"/>
    <w:rsid w:val="00B1588D"/>
    <w:rsid w:val="00B16F7C"/>
    <w:rsid w:val="00B22221"/>
    <w:rsid w:val="00B24CB6"/>
    <w:rsid w:val="00B26215"/>
    <w:rsid w:val="00B369F4"/>
    <w:rsid w:val="00B419F9"/>
    <w:rsid w:val="00B421C1"/>
    <w:rsid w:val="00B444D4"/>
    <w:rsid w:val="00B475E3"/>
    <w:rsid w:val="00B5166C"/>
    <w:rsid w:val="00B52C28"/>
    <w:rsid w:val="00B53EBD"/>
    <w:rsid w:val="00B57C97"/>
    <w:rsid w:val="00B61156"/>
    <w:rsid w:val="00B61D2A"/>
    <w:rsid w:val="00B636FB"/>
    <w:rsid w:val="00B63D24"/>
    <w:rsid w:val="00B64EB6"/>
    <w:rsid w:val="00B652A8"/>
    <w:rsid w:val="00B76445"/>
    <w:rsid w:val="00B86127"/>
    <w:rsid w:val="00B90A2C"/>
    <w:rsid w:val="00B91539"/>
    <w:rsid w:val="00B96E03"/>
    <w:rsid w:val="00B97AF3"/>
    <w:rsid w:val="00BA0A8A"/>
    <w:rsid w:val="00BA16DB"/>
    <w:rsid w:val="00BA5492"/>
    <w:rsid w:val="00BA6D6D"/>
    <w:rsid w:val="00BB032B"/>
    <w:rsid w:val="00BB2F18"/>
    <w:rsid w:val="00BC0AFE"/>
    <w:rsid w:val="00BC37A1"/>
    <w:rsid w:val="00BD1B2F"/>
    <w:rsid w:val="00BE2D47"/>
    <w:rsid w:val="00BE3A4E"/>
    <w:rsid w:val="00BE5BCC"/>
    <w:rsid w:val="00BF239C"/>
    <w:rsid w:val="00C01F63"/>
    <w:rsid w:val="00C10D2D"/>
    <w:rsid w:val="00C13A15"/>
    <w:rsid w:val="00C14609"/>
    <w:rsid w:val="00C260EC"/>
    <w:rsid w:val="00C31C18"/>
    <w:rsid w:val="00C46F8C"/>
    <w:rsid w:val="00C50BFE"/>
    <w:rsid w:val="00C53D56"/>
    <w:rsid w:val="00C61FD2"/>
    <w:rsid w:val="00C630FF"/>
    <w:rsid w:val="00C63B8D"/>
    <w:rsid w:val="00C76811"/>
    <w:rsid w:val="00C829FF"/>
    <w:rsid w:val="00C82BAA"/>
    <w:rsid w:val="00C86AED"/>
    <w:rsid w:val="00C93D23"/>
    <w:rsid w:val="00C94FFC"/>
    <w:rsid w:val="00C95201"/>
    <w:rsid w:val="00CA524C"/>
    <w:rsid w:val="00CB258E"/>
    <w:rsid w:val="00CB6B95"/>
    <w:rsid w:val="00CC06C6"/>
    <w:rsid w:val="00CC3707"/>
    <w:rsid w:val="00CC575F"/>
    <w:rsid w:val="00CE25B3"/>
    <w:rsid w:val="00CE491A"/>
    <w:rsid w:val="00CE4C5B"/>
    <w:rsid w:val="00CE5316"/>
    <w:rsid w:val="00CF373D"/>
    <w:rsid w:val="00D00DA0"/>
    <w:rsid w:val="00D00FCB"/>
    <w:rsid w:val="00D11CFF"/>
    <w:rsid w:val="00D126F7"/>
    <w:rsid w:val="00D13084"/>
    <w:rsid w:val="00D13365"/>
    <w:rsid w:val="00D24535"/>
    <w:rsid w:val="00D2586C"/>
    <w:rsid w:val="00D27E55"/>
    <w:rsid w:val="00D339DC"/>
    <w:rsid w:val="00D34E60"/>
    <w:rsid w:val="00D413D9"/>
    <w:rsid w:val="00D42032"/>
    <w:rsid w:val="00D5291D"/>
    <w:rsid w:val="00D561BE"/>
    <w:rsid w:val="00D574BB"/>
    <w:rsid w:val="00D6044F"/>
    <w:rsid w:val="00D6221A"/>
    <w:rsid w:val="00D85C4B"/>
    <w:rsid w:val="00D90F5F"/>
    <w:rsid w:val="00D94E1B"/>
    <w:rsid w:val="00D95337"/>
    <w:rsid w:val="00D95BB8"/>
    <w:rsid w:val="00DA118C"/>
    <w:rsid w:val="00DA4E4C"/>
    <w:rsid w:val="00DA7AB6"/>
    <w:rsid w:val="00DB07B1"/>
    <w:rsid w:val="00DB0FD2"/>
    <w:rsid w:val="00DB103D"/>
    <w:rsid w:val="00DB532F"/>
    <w:rsid w:val="00DB5E27"/>
    <w:rsid w:val="00DC7945"/>
    <w:rsid w:val="00DD0EEE"/>
    <w:rsid w:val="00DD2912"/>
    <w:rsid w:val="00DD4655"/>
    <w:rsid w:val="00DE4B38"/>
    <w:rsid w:val="00DE6978"/>
    <w:rsid w:val="00DF13B6"/>
    <w:rsid w:val="00DF2D57"/>
    <w:rsid w:val="00DF414B"/>
    <w:rsid w:val="00DF52CD"/>
    <w:rsid w:val="00DF73D4"/>
    <w:rsid w:val="00E02057"/>
    <w:rsid w:val="00E023E2"/>
    <w:rsid w:val="00E02AFC"/>
    <w:rsid w:val="00E04FCA"/>
    <w:rsid w:val="00E10238"/>
    <w:rsid w:val="00E1528F"/>
    <w:rsid w:val="00E1624B"/>
    <w:rsid w:val="00E1762F"/>
    <w:rsid w:val="00E22313"/>
    <w:rsid w:val="00E25739"/>
    <w:rsid w:val="00E265EC"/>
    <w:rsid w:val="00E27980"/>
    <w:rsid w:val="00E3116A"/>
    <w:rsid w:val="00E31CB8"/>
    <w:rsid w:val="00E323E3"/>
    <w:rsid w:val="00E3436F"/>
    <w:rsid w:val="00E372B4"/>
    <w:rsid w:val="00E41E0B"/>
    <w:rsid w:val="00E45991"/>
    <w:rsid w:val="00E5006A"/>
    <w:rsid w:val="00E50FD2"/>
    <w:rsid w:val="00E51B3E"/>
    <w:rsid w:val="00E521E1"/>
    <w:rsid w:val="00E623A2"/>
    <w:rsid w:val="00E732F3"/>
    <w:rsid w:val="00E737DA"/>
    <w:rsid w:val="00E75CF4"/>
    <w:rsid w:val="00E82D09"/>
    <w:rsid w:val="00E83E2E"/>
    <w:rsid w:val="00E85D56"/>
    <w:rsid w:val="00EA4402"/>
    <w:rsid w:val="00EA5170"/>
    <w:rsid w:val="00EB005D"/>
    <w:rsid w:val="00EB06BC"/>
    <w:rsid w:val="00EB0910"/>
    <w:rsid w:val="00EB11A2"/>
    <w:rsid w:val="00EB47C7"/>
    <w:rsid w:val="00EC4369"/>
    <w:rsid w:val="00EC597F"/>
    <w:rsid w:val="00ED0F28"/>
    <w:rsid w:val="00ED1BC4"/>
    <w:rsid w:val="00ED2949"/>
    <w:rsid w:val="00ED4E6C"/>
    <w:rsid w:val="00EE4D2F"/>
    <w:rsid w:val="00EF1C80"/>
    <w:rsid w:val="00EF229E"/>
    <w:rsid w:val="00EF35D3"/>
    <w:rsid w:val="00EF3603"/>
    <w:rsid w:val="00EF47C6"/>
    <w:rsid w:val="00F06DB4"/>
    <w:rsid w:val="00F108B0"/>
    <w:rsid w:val="00F1106D"/>
    <w:rsid w:val="00F12B3C"/>
    <w:rsid w:val="00F14649"/>
    <w:rsid w:val="00F1637C"/>
    <w:rsid w:val="00F2000C"/>
    <w:rsid w:val="00F25AAD"/>
    <w:rsid w:val="00F33FDF"/>
    <w:rsid w:val="00F36693"/>
    <w:rsid w:val="00F4394B"/>
    <w:rsid w:val="00F440BF"/>
    <w:rsid w:val="00F62FBB"/>
    <w:rsid w:val="00F66FE5"/>
    <w:rsid w:val="00F72971"/>
    <w:rsid w:val="00F737D8"/>
    <w:rsid w:val="00F81F0F"/>
    <w:rsid w:val="00F829CE"/>
    <w:rsid w:val="00F836E9"/>
    <w:rsid w:val="00F90D37"/>
    <w:rsid w:val="00F95531"/>
    <w:rsid w:val="00F9615E"/>
    <w:rsid w:val="00FA157D"/>
    <w:rsid w:val="00FA22F5"/>
    <w:rsid w:val="00FA2FFD"/>
    <w:rsid w:val="00FA62AB"/>
    <w:rsid w:val="00FB0CFB"/>
    <w:rsid w:val="00FC4B4D"/>
    <w:rsid w:val="00FC6215"/>
    <w:rsid w:val="00FD4353"/>
    <w:rsid w:val="00FD483D"/>
    <w:rsid w:val="00FE07CD"/>
    <w:rsid w:val="00FE1BA9"/>
    <w:rsid w:val="00FE1C83"/>
    <w:rsid w:val="00FF1305"/>
    <w:rsid w:val="00FF2705"/>
    <w:rsid w:val="00FF3150"/>
    <w:rsid w:val="00FF34E4"/>
    <w:rsid w:val="00FF5AB3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2211D"/>
  <w15:docId w15:val="{886FF3F1-7BF2-4995-85FB-A435241D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553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99"/>
    <w:qFormat/>
    <w:rsid w:val="0079055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790553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paragraph" w:styleId="Web">
    <w:name w:val="Normal (Web)"/>
    <w:basedOn w:val="a"/>
    <w:uiPriority w:val="99"/>
    <w:rsid w:val="0079055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styleId="a3">
    <w:name w:val="List Paragraph"/>
    <w:basedOn w:val="a"/>
    <w:uiPriority w:val="99"/>
    <w:qFormat/>
    <w:rsid w:val="00790553"/>
    <w:pPr>
      <w:ind w:leftChars="200" w:left="480"/>
    </w:pPr>
  </w:style>
  <w:style w:type="character" w:styleId="a4">
    <w:name w:val="Hyperlink"/>
    <w:basedOn w:val="a0"/>
    <w:uiPriority w:val="99"/>
    <w:rsid w:val="00790553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761F0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761F0"/>
    <w:rPr>
      <w:rFonts w:ascii="Calibri" w:eastAsia="新細明體" w:hAnsi="Calibri" w:cs="Times New Roman"/>
      <w:sz w:val="20"/>
      <w:szCs w:val="20"/>
    </w:rPr>
  </w:style>
  <w:style w:type="character" w:customStyle="1" w:styleId="11">
    <w:name w:val="未解析的提及1"/>
    <w:basedOn w:val="a0"/>
    <w:uiPriority w:val="99"/>
    <w:semiHidden/>
    <w:unhideWhenUsed/>
    <w:rsid w:val="0047151D"/>
    <w:rPr>
      <w:color w:val="605E5C"/>
      <w:shd w:val="clear" w:color="auto" w:fill="E1DFDD"/>
    </w:rPr>
  </w:style>
  <w:style w:type="table" w:styleId="a9">
    <w:name w:val="Table Grid"/>
    <w:basedOn w:val="a1"/>
    <w:rsid w:val="00F90D37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636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B636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wissmedic.ch/swissmedic/en/home/humanarzneimittel/market-surveillance/health-professional-communication--hpc-/hpc-metronidazol-und-andere-nitroimidazole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6DE3F6-2999-490E-99B9-42161F23F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1179</Words>
  <Characters>1452</Characters>
  <Application>Microsoft Office Word</Application>
  <DocSecurity>0</DocSecurity>
  <Lines>76</Lines>
  <Paragraphs>79</Paragraphs>
  <ScaleCrop>false</ScaleCrop>
  <Company>TDRF</Company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swy</dc:creator>
  <cp:keywords/>
  <dc:description/>
  <cp:lastModifiedBy>柯宏翰</cp:lastModifiedBy>
  <cp:revision>3</cp:revision>
  <cp:lastPrinted>2025-01-15T08:42:00Z</cp:lastPrinted>
  <dcterms:created xsi:type="dcterms:W3CDTF">2025-01-17T01:11:00Z</dcterms:created>
  <dcterms:modified xsi:type="dcterms:W3CDTF">2025-01-20T06:07:00Z</dcterms:modified>
</cp:coreProperties>
</file>