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38AE" w:rsidRDefault="0085679A" w:rsidP="00B25A81">
      <w:pPr>
        <w:spacing w:line="400" w:lineRule="atLeast"/>
        <w:jc w:val="center"/>
        <w:rPr>
          <w:rFonts w:ascii="Times New Roman" w:eastAsia="標楷體" w:hAnsi="Times New Roman" w:cs="Times New Roman"/>
          <w:bCs/>
          <w:iCs/>
          <w:sz w:val="28"/>
          <w:szCs w:val="28"/>
          <w:lang w:val="zh-TW"/>
        </w:rPr>
      </w:pPr>
      <w:r w:rsidRPr="0085679A">
        <w:rPr>
          <w:rFonts w:ascii="Times New Roman" w:eastAsia="標楷體" w:hAnsi="Times New Roman" w:cs="Times New Roman"/>
          <w:bCs/>
          <w:iCs/>
          <w:sz w:val="28"/>
          <w:szCs w:val="28"/>
        </w:rPr>
        <w:t>含</w:t>
      </w:r>
      <w:proofErr w:type="spellStart"/>
      <w:r w:rsidRPr="0085679A">
        <w:rPr>
          <w:rFonts w:ascii="Times New Roman" w:eastAsia="標楷體" w:hAnsi="Times New Roman" w:cs="Times New Roman"/>
          <w:bCs/>
          <w:iCs/>
          <w:sz w:val="28"/>
          <w:szCs w:val="28"/>
        </w:rPr>
        <w:t>cyproterone</w:t>
      </w:r>
      <w:proofErr w:type="spellEnd"/>
      <w:r w:rsidRPr="0085679A">
        <w:rPr>
          <w:rFonts w:ascii="Times New Roman" w:eastAsia="標楷體" w:hAnsi="Times New Roman" w:cs="Times New Roman"/>
          <w:bCs/>
          <w:iCs/>
          <w:sz w:val="28"/>
          <w:szCs w:val="28"/>
        </w:rPr>
        <w:t xml:space="preserve"> acetate</w:t>
      </w:r>
      <w:r w:rsidRPr="0085679A">
        <w:rPr>
          <w:rFonts w:ascii="Times New Roman" w:eastAsia="標楷體" w:hAnsi="Times New Roman" w:cs="Times New Roman"/>
          <w:bCs/>
          <w:iCs/>
          <w:sz w:val="28"/>
          <w:szCs w:val="28"/>
        </w:rPr>
        <w:t>成分</w:t>
      </w:r>
      <w:r w:rsidRPr="0085679A">
        <w:rPr>
          <w:rFonts w:ascii="Times New Roman" w:eastAsia="標楷體" w:hAnsi="Times New Roman" w:cs="Times New Roman" w:hint="eastAsia"/>
          <w:b/>
          <w:bCs/>
          <w:iCs/>
          <w:sz w:val="28"/>
          <w:szCs w:val="28"/>
          <w:u w:val="single"/>
        </w:rPr>
        <w:t>單方</w:t>
      </w:r>
      <w:r w:rsidRPr="0085679A">
        <w:rPr>
          <w:rFonts w:ascii="Times New Roman" w:eastAsia="標楷體" w:hAnsi="Times New Roman" w:cs="Times New Roman" w:hint="eastAsia"/>
          <w:bCs/>
          <w:iCs/>
          <w:sz w:val="28"/>
          <w:szCs w:val="28"/>
        </w:rPr>
        <w:t>藥品</w:t>
      </w:r>
      <w:r w:rsidR="00B25A81" w:rsidRPr="003438AE">
        <w:rPr>
          <w:rFonts w:ascii="Times New Roman" w:eastAsia="標楷體" w:hAnsi="Times New Roman" w:cs="Times New Roman"/>
          <w:bCs/>
          <w:iCs/>
          <w:sz w:val="28"/>
          <w:szCs w:val="28"/>
          <w:lang w:val="zh-TW"/>
        </w:rPr>
        <w:t>之中文仿單修訂內容</w:t>
      </w:r>
    </w:p>
    <w:p w:rsidR="00390FCA" w:rsidRDefault="00B25A81" w:rsidP="00B25A81">
      <w:pPr>
        <w:pStyle w:val="a3"/>
        <w:numPr>
          <w:ilvl w:val="0"/>
          <w:numId w:val="1"/>
        </w:numPr>
        <w:ind w:leftChars="0"/>
        <w:rPr>
          <w:rFonts w:ascii="Times New Roman" w:eastAsia="標楷體" w:hAnsi="Times New Roman" w:cs="Times New Roman"/>
        </w:rPr>
      </w:pPr>
      <w:r w:rsidRPr="003438AE">
        <w:rPr>
          <w:rFonts w:ascii="Times New Roman" w:eastAsia="標楷體" w:hAnsi="Times New Roman" w:cs="Times New Roman"/>
          <w:b/>
        </w:rPr>
        <w:t>「</w:t>
      </w:r>
      <w:r w:rsidR="0085679A">
        <w:rPr>
          <w:rFonts w:ascii="Times New Roman" w:eastAsia="標楷體" w:hAnsi="Times New Roman" w:cs="Times New Roman" w:hint="eastAsia"/>
          <w:b/>
        </w:rPr>
        <w:t>警語與注意事項</w:t>
      </w:r>
      <w:r w:rsidRPr="003438AE">
        <w:rPr>
          <w:rFonts w:ascii="Times New Roman" w:eastAsia="標楷體" w:hAnsi="Times New Roman" w:cs="Times New Roman"/>
          <w:b/>
        </w:rPr>
        <w:t>」</w:t>
      </w:r>
      <w:r w:rsidR="003438AE" w:rsidRPr="003438AE">
        <w:rPr>
          <w:rFonts w:ascii="Times New Roman" w:eastAsia="標楷體" w:hAnsi="Times New Roman" w:cs="Times New Roman" w:hint="eastAsia"/>
          <w:b/>
        </w:rPr>
        <w:t>應包括</w:t>
      </w:r>
      <w:r>
        <w:rPr>
          <w:rFonts w:ascii="Times New Roman" w:eastAsia="標楷體" w:hAnsi="Times New Roman" w:cs="Times New Roman" w:hint="eastAsia"/>
        </w:rPr>
        <w:t>:</w:t>
      </w:r>
    </w:p>
    <w:p w:rsidR="0085679A" w:rsidRDefault="00022185" w:rsidP="00022185">
      <w:pPr>
        <w:pStyle w:val="a3"/>
        <w:ind w:leftChars="236" w:left="566"/>
        <w:rPr>
          <w:rFonts w:ascii="Times New Roman" w:eastAsia="標楷體" w:hAnsi="Times New Roman" w:cs="Times New Roman"/>
        </w:rPr>
      </w:pPr>
      <w:r>
        <w:rPr>
          <w:rFonts w:ascii="Times New Roman" w:eastAsia="標楷體" w:hAnsi="Times New Roman" w:cs="Times New Roman" w:hint="eastAsia"/>
        </w:rPr>
        <w:t>曾有</w:t>
      </w:r>
      <w:r w:rsidR="00AA3D3C" w:rsidRPr="00AA3D3C">
        <w:rPr>
          <w:rFonts w:ascii="Times New Roman" w:eastAsia="標楷體" w:hAnsi="Times New Roman" w:cs="Times New Roman" w:hint="eastAsia"/>
        </w:rPr>
        <w:t>接</w:t>
      </w:r>
      <w:r>
        <w:rPr>
          <w:rFonts w:ascii="Times New Roman" w:eastAsia="標楷體" w:hAnsi="Times New Roman" w:cs="Times New Roman" w:hint="eastAsia"/>
        </w:rPr>
        <w:t>獲</w:t>
      </w:r>
      <w:proofErr w:type="spellStart"/>
      <w:r w:rsidRPr="0085679A">
        <w:rPr>
          <w:rFonts w:ascii="Times New Roman" w:eastAsia="標楷體" w:hAnsi="Times New Roman" w:cs="Times New Roman"/>
          <w:bCs/>
          <w:iCs/>
          <w:sz w:val="28"/>
          <w:szCs w:val="28"/>
        </w:rPr>
        <w:t>cyproterone</w:t>
      </w:r>
      <w:proofErr w:type="spellEnd"/>
      <w:r w:rsidRPr="0085679A">
        <w:rPr>
          <w:rFonts w:ascii="Times New Roman" w:eastAsia="標楷體" w:hAnsi="Times New Roman" w:cs="Times New Roman"/>
          <w:bCs/>
          <w:iCs/>
          <w:sz w:val="28"/>
          <w:szCs w:val="28"/>
        </w:rPr>
        <w:t xml:space="preserve"> acetat</w:t>
      </w:r>
      <w:r w:rsidRPr="00022185">
        <w:rPr>
          <w:rFonts w:ascii="Times New Roman" w:eastAsia="標楷體" w:hAnsi="Times New Roman" w:cs="Times New Roman"/>
        </w:rPr>
        <w:t>e</w:t>
      </w:r>
      <w:r w:rsidRPr="00022185">
        <w:rPr>
          <w:rFonts w:ascii="Times New Roman" w:eastAsia="標楷體" w:hAnsi="Times New Roman" w:cs="Times New Roman" w:hint="eastAsia"/>
        </w:rPr>
        <w:t>治療的病人</w:t>
      </w:r>
      <w:r>
        <w:rPr>
          <w:rFonts w:ascii="Times New Roman" w:eastAsia="標楷體" w:hAnsi="Times New Roman" w:cs="Times New Roman" w:hint="eastAsia"/>
        </w:rPr>
        <w:t>，出現肝毒性包括黃疸、肝炎及肝臟衰竭等不良反應等案例。</w:t>
      </w:r>
      <w:r w:rsidR="0085679A" w:rsidRPr="0085679A">
        <w:rPr>
          <w:rFonts w:ascii="Times New Roman" w:eastAsia="標楷體" w:hAnsi="Times New Roman" w:cs="Times New Roman" w:hint="eastAsia"/>
        </w:rPr>
        <w:t>慢性肝病</w:t>
      </w:r>
      <w:r>
        <w:rPr>
          <w:rFonts w:ascii="Times New Roman" w:eastAsia="標楷體" w:hAnsi="Times New Roman" w:cs="Times New Roman" w:hint="eastAsia"/>
        </w:rPr>
        <w:t>者，</w:t>
      </w:r>
      <w:r w:rsidR="0085679A" w:rsidRPr="0085679A">
        <w:rPr>
          <w:rFonts w:ascii="Times New Roman" w:eastAsia="標楷體" w:hAnsi="Times New Roman" w:cs="Times New Roman" w:hint="eastAsia"/>
        </w:rPr>
        <w:t>如慢性病毒性肝炎、慢性酒精性肝病者</w:t>
      </w:r>
      <w:r w:rsidR="00F56531">
        <w:rPr>
          <w:rFonts w:ascii="Times New Roman" w:eastAsia="標楷體" w:hAnsi="Times New Roman" w:cs="Times New Roman" w:hint="eastAsia"/>
        </w:rPr>
        <w:t>、高齡與每日劑量大於或等於</w:t>
      </w:r>
      <w:r w:rsidR="00F56531">
        <w:rPr>
          <w:rFonts w:ascii="Times New Roman" w:eastAsia="標楷體" w:hAnsi="Times New Roman" w:cs="Times New Roman" w:hint="eastAsia"/>
        </w:rPr>
        <w:t>100mg</w:t>
      </w:r>
      <w:r w:rsidR="00F56531">
        <w:rPr>
          <w:rFonts w:ascii="Times New Roman" w:eastAsia="標楷體" w:hAnsi="Times New Roman" w:cs="Times New Roman" w:hint="eastAsia"/>
        </w:rPr>
        <w:t>者</w:t>
      </w:r>
      <w:r w:rsidR="0085679A" w:rsidRPr="0085679A">
        <w:rPr>
          <w:rFonts w:ascii="Times New Roman" w:eastAsia="標楷體" w:hAnsi="Times New Roman" w:cs="Times New Roman" w:hint="eastAsia"/>
        </w:rPr>
        <w:t>，</w:t>
      </w:r>
      <w:proofErr w:type="gramStart"/>
      <w:r w:rsidR="0085679A" w:rsidRPr="0085679A">
        <w:rPr>
          <w:rFonts w:ascii="Times New Roman" w:eastAsia="標楷體" w:hAnsi="Times New Roman" w:cs="Times New Roman" w:hint="eastAsia"/>
        </w:rPr>
        <w:t>服用本藥導致藥物性肝損傷</w:t>
      </w:r>
      <w:proofErr w:type="gramEnd"/>
      <w:r w:rsidR="0085679A" w:rsidRPr="0085679A">
        <w:rPr>
          <w:rFonts w:ascii="Times New Roman" w:eastAsia="標楷體" w:hAnsi="Times New Roman" w:cs="Times New Roman" w:hint="eastAsia"/>
        </w:rPr>
        <w:t>之機率與嚴重度較大，宜特別小心</w:t>
      </w:r>
      <w:r w:rsidR="00AA3D3C">
        <w:rPr>
          <w:rFonts w:ascii="Times New Roman" w:eastAsia="標楷體" w:hAnsi="Times New Roman" w:cs="Times New Roman" w:hint="eastAsia"/>
        </w:rPr>
        <w:t>。處方</w:t>
      </w:r>
      <w:proofErr w:type="gramStart"/>
      <w:r w:rsidR="00AA3D3C">
        <w:rPr>
          <w:rFonts w:ascii="Times New Roman" w:eastAsia="標楷體" w:hAnsi="Times New Roman" w:cs="Times New Roman" w:hint="eastAsia"/>
        </w:rPr>
        <w:t>服用本藥前</w:t>
      </w:r>
      <w:proofErr w:type="gramEnd"/>
      <w:r w:rsidR="00AA3D3C">
        <w:rPr>
          <w:rFonts w:ascii="Times New Roman" w:eastAsia="標楷體" w:hAnsi="Times New Roman" w:cs="Times New Roman" w:hint="eastAsia"/>
        </w:rPr>
        <w:t>，宜詢問病人肝病史，並檢測病人至少包括</w:t>
      </w:r>
      <w:r w:rsidR="00AA3D3C">
        <w:rPr>
          <w:rFonts w:ascii="Times New Roman" w:eastAsia="標楷體" w:hAnsi="Times New Roman" w:cs="Times New Roman" w:hint="eastAsia"/>
        </w:rPr>
        <w:t>ALT</w:t>
      </w:r>
      <w:r w:rsidR="00AA3D3C">
        <w:rPr>
          <w:rFonts w:ascii="Times New Roman" w:eastAsia="標楷體" w:hAnsi="Times New Roman" w:cs="Times New Roman" w:hint="eastAsia"/>
        </w:rPr>
        <w:t>、</w:t>
      </w:r>
      <w:r w:rsidR="00AA3D3C">
        <w:rPr>
          <w:rFonts w:ascii="Times New Roman" w:eastAsia="標楷體" w:hAnsi="Times New Roman" w:cs="Times New Roman" w:hint="eastAsia"/>
        </w:rPr>
        <w:t>AST</w:t>
      </w:r>
      <w:r w:rsidR="00AA3D3C">
        <w:rPr>
          <w:rFonts w:ascii="Times New Roman" w:eastAsia="標楷體" w:hAnsi="Times New Roman" w:cs="Times New Roman" w:hint="eastAsia"/>
        </w:rPr>
        <w:t>、</w:t>
      </w:r>
      <w:r w:rsidR="00AA3D3C">
        <w:rPr>
          <w:rFonts w:ascii="Times New Roman" w:eastAsia="標楷體" w:hAnsi="Times New Roman" w:cs="Times New Roman" w:hint="eastAsia"/>
        </w:rPr>
        <w:t>ALK-P</w:t>
      </w:r>
      <w:r w:rsidR="00AA3D3C">
        <w:rPr>
          <w:rFonts w:ascii="Times New Roman" w:eastAsia="標楷體" w:hAnsi="Times New Roman" w:cs="Times New Roman" w:hint="eastAsia"/>
        </w:rPr>
        <w:t>、</w:t>
      </w:r>
      <w:r w:rsidR="00AA3D3C">
        <w:rPr>
          <w:rFonts w:ascii="Times New Roman" w:eastAsia="標楷體" w:hAnsi="Times New Roman" w:cs="Times New Roman" w:hint="eastAsia"/>
        </w:rPr>
        <w:t>total bilirubin</w:t>
      </w:r>
      <w:r w:rsidR="00AA3D3C">
        <w:rPr>
          <w:rFonts w:ascii="Times New Roman" w:eastAsia="標楷體" w:hAnsi="Times New Roman" w:cs="Times New Roman" w:hint="eastAsia"/>
        </w:rPr>
        <w:t>之肝生化值，若有異常，考慮不</w:t>
      </w:r>
      <w:proofErr w:type="gramStart"/>
      <w:r w:rsidR="00AA3D3C">
        <w:rPr>
          <w:rFonts w:ascii="Times New Roman" w:eastAsia="標楷體" w:hAnsi="Times New Roman" w:cs="Times New Roman" w:hint="eastAsia"/>
        </w:rPr>
        <w:t>使用本藥</w:t>
      </w:r>
      <w:proofErr w:type="gramEnd"/>
      <w:r w:rsidR="00AA3D3C">
        <w:rPr>
          <w:rFonts w:ascii="Times New Roman" w:eastAsia="標楷體" w:hAnsi="Times New Roman" w:cs="Times New Roman" w:hint="eastAsia"/>
        </w:rPr>
        <w:t>。服藥後前</w:t>
      </w:r>
      <w:r w:rsidR="00AA3D3C">
        <w:rPr>
          <w:rFonts w:ascii="Times New Roman" w:eastAsia="標楷體" w:hAnsi="Times New Roman" w:cs="Times New Roman" w:hint="eastAsia"/>
        </w:rPr>
        <w:t>6</w:t>
      </w:r>
      <w:r w:rsidR="00AA3D3C">
        <w:rPr>
          <w:rFonts w:ascii="Times New Roman" w:eastAsia="標楷體" w:hAnsi="Times New Roman" w:cs="Times New Roman" w:hint="eastAsia"/>
        </w:rPr>
        <w:t>個月，</w:t>
      </w:r>
      <w:r w:rsidR="0095240D">
        <w:rPr>
          <w:rFonts w:ascii="Times New Roman" w:eastAsia="標楷體" w:hAnsi="Times New Roman" w:cs="Times New Roman" w:hint="eastAsia"/>
        </w:rPr>
        <w:t>建議</w:t>
      </w:r>
      <w:r>
        <w:rPr>
          <w:rFonts w:ascii="Times New Roman" w:eastAsia="標楷體" w:hAnsi="Times New Roman" w:cs="Times New Roman" w:hint="eastAsia"/>
        </w:rPr>
        <w:t>每個月</w:t>
      </w:r>
      <w:r w:rsidR="00F56531">
        <w:rPr>
          <w:rFonts w:ascii="Times New Roman" w:eastAsia="標楷體" w:hAnsi="Times New Roman" w:cs="Times New Roman" w:hint="eastAsia"/>
        </w:rPr>
        <w:t>檢</w:t>
      </w:r>
      <w:r>
        <w:rPr>
          <w:rFonts w:ascii="Times New Roman" w:eastAsia="標楷體" w:hAnsi="Times New Roman" w:cs="Times New Roman" w:hint="eastAsia"/>
        </w:rPr>
        <w:t>測一次肝功能，如</w:t>
      </w:r>
      <w:r>
        <w:rPr>
          <w:rFonts w:ascii="Times New Roman" w:eastAsia="標楷體" w:hAnsi="Times New Roman" w:cs="Times New Roman" w:hint="eastAsia"/>
        </w:rPr>
        <w:t>ALT</w:t>
      </w:r>
      <w:r>
        <w:rPr>
          <w:rFonts w:ascii="Times New Roman" w:eastAsia="標楷體" w:hAnsi="Times New Roman" w:cs="Times New Roman" w:hint="eastAsia"/>
        </w:rPr>
        <w:t>、</w:t>
      </w:r>
      <w:r>
        <w:rPr>
          <w:rFonts w:ascii="Times New Roman" w:eastAsia="標楷體" w:hAnsi="Times New Roman" w:cs="Times New Roman" w:hint="eastAsia"/>
        </w:rPr>
        <w:t>AST</w:t>
      </w:r>
      <w:r>
        <w:rPr>
          <w:rFonts w:ascii="Times New Roman" w:eastAsia="標楷體" w:hAnsi="Times New Roman" w:cs="Times New Roman" w:hint="eastAsia"/>
        </w:rPr>
        <w:t>、</w:t>
      </w:r>
      <w:r>
        <w:rPr>
          <w:rFonts w:ascii="Times New Roman" w:eastAsia="標楷體" w:hAnsi="Times New Roman" w:cs="Times New Roman" w:hint="eastAsia"/>
        </w:rPr>
        <w:t>ALK-P</w:t>
      </w:r>
      <w:r>
        <w:rPr>
          <w:rFonts w:ascii="Times New Roman" w:eastAsia="標楷體" w:hAnsi="Times New Roman" w:cs="Times New Roman" w:hint="eastAsia"/>
        </w:rPr>
        <w:t>、</w:t>
      </w:r>
      <w:r>
        <w:rPr>
          <w:rFonts w:ascii="Times New Roman" w:eastAsia="標楷體" w:hAnsi="Times New Roman" w:cs="Times New Roman" w:hint="eastAsia"/>
        </w:rPr>
        <w:t>total bilirubin</w:t>
      </w:r>
      <w:r>
        <w:rPr>
          <w:rFonts w:ascii="Times New Roman" w:eastAsia="標楷體" w:hAnsi="Times New Roman" w:cs="Times New Roman" w:hint="eastAsia"/>
        </w:rPr>
        <w:t>等，如有異常，宜考慮立即停藥</w:t>
      </w:r>
      <w:r w:rsidR="00F56531">
        <w:rPr>
          <w:rFonts w:ascii="Times New Roman" w:eastAsia="標楷體" w:hAnsi="Times New Roman" w:cs="Times New Roman" w:hint="eastAsia"/>
        </w:rPr>
        <w:t>；服藥</w:t>
      </w:r>
      <w:r w:rsidR="00F56531">
        <w:rPr>
          <w:rFonts w:ascii="Times New Roman" w:eastAsia="標楷體" w:hAnsi="Times New Roman" w:cs="Times New Roman" w:hint="eastAsia"/>
        </w:rPr>
        <w:t>6</w:t>
      </w:r>
      <w:r w:rsidR="00F56531">
        <w:rPr>
          <w:rFonts w:ascii="Times New Roman" w:eastAsia="標楷體" w:hAnsi="Times New Roman" w:cs="Times New Roman" w:hint="eastAsia"/>
        </w:rPr>
        <w:t>個月後，</w:t>
      </w:r>
      <w:r w:rsidR="0095240D">
        <w:rPr>
          <w:rFonts w:ascii="Times New Roman" w:eastAsia="標楷體" w:hAnsi="Times New Roman" w:cs="Times New Roman" w:hint="eastAsia"/>
        </w:rPr>
        <w:t>建議</w:t>
      </w:r>
      <w:bookmarkStart w:id="0" w:name="_GoBack"/>
      <w:bookmarkEnd w:id="0"/>
      <w:r w:rsidR="00F56531">
        <w:rPr>
          <w:rFonts w:ascii="Times New Roman" w:eastAsia="標楷體" w:hAnsi="Times New Roman" w:cs="Times New Roman" w:hint="eastAsia"/>
        </w:rPr>
        <w:t>每</w:t>
      </w:r>
      <w:r w:rsidR="00F56531">
        <w:rPr>
          <w:rFonts w:ascii="Times New Roman" w:eastAsia="標楷體" w:hAnsi="Times New Roman" w:cs="Times New Roman" w:hint="eastAsia"/>
        </w:rPr>
        <w:t>3</w:t>
      </w:r>
      <w:r w:rsidR="00F56531">
        <w:rPr>
          <w:rFonts w:ascii="Times New Roman" w:eastAsia="標楷體" w:hAnsi="Times New Roman" w:cs="Times New Roman" w:hint="eastAsia"/>
        </w:rPr>
        <w:t>個月進行一次肝功能檢查</w:t>
      </w:r>
      <w:r>
        <w:rPr>
          <w:rFonts w:ascii="Times New Roman" w:eastAsia="標楷體" w:hAnsi="Times New Roman" w:cs="Times New Roman" w:hint="eastAsia"/>
        </w:rPr>
        <w:t>。服藥期間若出現</w:t>
      </w:r>
      <w:r w:rsidR="00F56531">
        <w:rPr>
          <w:rFonts w:ascii="Times New Roman" w:eastAsia="標楷體" w:hAnsi="Times New Roman" w:cs="Times New Roman" w:hint="eastAsia"/>
        </w:rPr>
        <w:t>嘔吐、噁心、上腹部不適、倦怠、皮膚或眼睛發黃、茶色尿等症狀，應立即就醫並檢測肝功能。</w:t>
      </w:r>
      <w:r w:rsidR="0001276E">
        <w:rPr>
          <w:rFonts w:ascii="Times New Roman" w:eastAsia="標楷體" w:hAnsi="Times New Roman" w:cs="Times New Roman" w:hint="eastAsia"/>
        </w:rPr>
        <w:t>病人若有惡性腫瘤，如肝細胞癌、</w:t>
      </w:r>
      <w:proofErr w:type="gramStart"/>
      <w:r w:rsidR="0001276E">
        <w:rPr>
          <w:rFonts w:ascii="Times New Roman" w:eastAsia="標楷體" w:hAnsi="Times New Roman" w:cs="Times New Roman" w:hint="eastAsia"/>
        </w:rPr>
        <w:t>膽管癌者</w:t>
      </w:r>
      <w:proofErr w:type="gramEnd"/>
      <w:r w:rsidR="0001276E">
        <w:rPr>
          <w:rFonts w:ascii="Times New Roman" w:eastAsia="標楷體" w:hAnsi="Times New Roman" w:cs="Times New Roman" w:hint="eastAsia"/>
        </w:rPr>
        <w:t>，不宜</w:t>
      </w:r>
      <w:proofErr w:type="gramStart"/>
      <w:r w:rsidR="0001276E">
        <w:rPr>
          <w:rFonts w:ascii="Times New Roman" w:eastAsia="標楷體" w:hAnsi="Times New Roman" w:cs="Times New Roman" w:hint="eastAsia"/>
        </w:rPr>
        <w:t>使用本藥</w:t>
      </w:r>
      <w:proofErr w:type="gramEnd"/>
      <w:r w:rsidR="0001276E">
        <w:rPr>
          <w:rFonts w:ascii="Times New Roman" w:eastAsia="標楷體" w:hAnsi="Times New Roman" w:cs="Times New Roman" w:hint="eastAsia"/>
        </w:rPr>
        <w:t>。若有良性肝腫瘤，如血管瘤等，宜小心</w:t>
      </w:r>
      <w:proofErr w:type="gramStart"/>
      <w:r w:rsidR="0001276E">
        <w:rPr>
          <w:rFonts w:ascii="Times New Roman" w:eastAsia="標楷體" w:hAnsi="Times New Roman" w:cs="Times New Roman" w:hint="eastAsia"/>
        </w:rPr>
        <w:t>使用本藥</w:t>
      </w:r>
      <w:proofErr w:type="gramEnd"/>
      <w:r w:rsidR="0001276E">
        <w:rPr>
          <w:rFonts w:ascii="Times New Roman" w:eastAsia="標楷體" w:hAnsi="Times New Roman" w:cs="Times New Roman" w:hint="eastAsia"/>
        </w:rPr>
        <w:t>，並建議至少每半年追蹤檢查肝臟超音波一次。</w:t>
      </w:r>
    </w:p>
    <w:p w:rsidR="007E03F8" w:rsidRPr="0085679A" w:rsidRDefault="007E03F8" w:rsidP="00022185">
      <w:pPr>
        <w:pStyle w:val="a3"/>
        <w:ind w:leftChars="236" w:left="566"/>
        <w:rPr>
          <w:rFonts w:ascii="Times New Roman" w:eastAsia="標楷體" w:hAnsi="Times New Roman" w:cs="Times New Roman"/>
        </w:rPr>
      </w:pPr>
    </w:p>
    <w:p w:rsidR="00B25A81" w:rsidRDefault="00B25A81" w:rsidP="00B25A81">
      <w:pPr>
        <w:pStyle w:val="a3"/>
        <w:numPr>
          <w:ilvl w:val="0"/>
          <w:numId w:val="1"/>
        </w:numPr>
        <w:ind w:leftChars="0"/>
        <w:rPr>
          <w:rFonts w:ascii="Times New Roman" w:eastAsia="標楷體" w:hAnsi="Times New Roman" w:cs="Times New Roman"/>
        </w:rPr>
      </w:pPr>
      <w:r w:rsidRPr="003438AE">
        <w:rPr>
          <w:rFonts w:ascii="Times New Roman" w:eastAsia="標楷體" w:hAnsi="Times New Roman" w:cs="Times New Roman"/>
          <w:b/>
        </w:rPr>
        <w:t>「</w:t>
      </w:r>
      <w:r w:rsidR="0085679A">
        <w:rPr>
          <w:rFonts w:ascii="Times New Roman" w:eastAsia="標楷體" w:hAnsi="Times New Roman" w:cs="Times New Roman" w:hint="eastAsia"/>
          <w:b/>
        </w:rPr>
        <w:t>不良反應</w:t>
      </w:r>
      <w:r w:rsidRPr="003438AE">
        <w:rPr>
          <w:rFonts w:ascii="Times New Roman" w:eastAsia="標楷體" w:hAnsi="Times New Roman" w:cs="Times New Roman"/>
          <w:b/>
        </w:rPr>
        <w:t>」</w:t>
      </w:r>
      <w:r w:rsidR="003438AE" w:rsidRPr="003438AE">
        <w:rPr>
          <w:rFonts w:ascii="Times New Roman" w:eastAsia="標楷體" w:hAnsi="Times New Roman" w:cs="Times New Roman" w:hint="eastAsia"/>
          <w:b/>
        </w:rPr>
        <w:t>應包括</w:t>
      </w:r>
      <w:r>
        <w:rPr>
          <w:rFonts w:ascii="Times New Roman" w:eastAsia="標楷體" w:hAnsi="Times New Roman" w:cs="Times New Roman" w:hint="eastAsia"/>
        </w:rPr>
        <w:t>:</w:t>
      </w:r>
    </w:p>
    <w:p w:rsidR="00390FCA" w:rsidRDefault="0085679A" w:rsidP="0085679A">
      <w:pPr>
        <w:tabs>
          <w:tab w:val="center" w:pos="4153"/>
        </w:tabs>
        <w:ind w:left="480"/>
        <w:rPr>
          <w:rFonts w:ascii="Times New Roman" w:eastAsia="標楷體" w:hAnsi="Times New Roman" w:cs="Times New Roman"/>
        </w:rPr>
      </w:pPr>
      <w:r>
        <w:rPr>
          <w:rFonts w:ascii="Times New Roman" w:eastAsia="標楷體" w:hAnsi="Times New Roman" w:cs="Times New Roman" w:hint="eastAsia"/>
        </w:rPr>
        <w:t xml:space="preserve"> </w:t>
      </w:r>
      <w:r>
        <w:rPr>
          <w:rFonts w:ascii="Times New Roman" w:eastAsia="標楷體" w:hAnsi="Times New Roman" w:cs="Times New Roman" w:hint="eastAsia"/>
        </w:rPr>
        <w:t>肝膽失調</w:t>
      </w:r>
      <w:r>
        <w:rPr>
          <w:rFonts w:ascii="Times New Roman" w:eastAsia="標楷體" w:hAnsi="Times New Roman" w:cs="Times New Roman" w:hint="eastAsia"/>
        </w:rPr>
        <w:t>:</w:t>
      </w:r>
      <w:r>
        <w:rPr>
          <w:rFonts w:ascii="Times New Roman" w:eastAsia="標楷體" w:hAnsi="Times New Roman" w:cs="Times New Roman" w:hint="eastAsia"/>
        </w:rPr>
        <w:t>常見</w:t>
      </w:r>
      <w:r>
        <w:rPr>
          <w:rFonts w:ascii="Times New Roman" w:eastAsia="標楷體" w:hAnsi="Times New Roman" w:cs="Times New Roman" w:hint="eastAsia"/>
        </w:rPr>
        <w:t>-</w:t>
      </w:r>
      <w:r>
        <w:rPr>
          <w:rFonts w:ascii="Times New Roman" w:eastAsia="標楷體" w:hAnsi="Times New Roman" w:cs="Times New Roman" w:hint="eastAsia"/>
        </w:rPr>
        <w:t>藥物性肝損傷；不常見</w:t>
      </w:r>
      <w:r>
        <w:rPr>
          <w:rFonts w:ascii="Times New Roman" w:eastAsia="標楷體" w:hAnsi="Times New Roman" w:cs="Times New Roman" w:hint="eastAsia"/>
        </w:rPr>
        <w:t>-</w:t>
      </w:r>
      <w:r>
        <w:rPr>
          <w:rFonts w:ascii="Times New Roman" w:eastAsia="標楷體" w:hAnsi="Times New Roman" w:cs="Times New Roman" w:hint="eastAsia"/>
        </w:rPr>
        <w:t>黃疸、肝衰竭。</w:t>
      </w:r>
    </w:p>
    <w:sectPr w:rsidR="00390FCA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25DF" w:rsidRDefault="009D25DF" w:rsidP="00782BE7">
      <w:r>
        <w:separator/>
      </w:r>
    </w:p>
  </w:endnote>
  <w:endnote w:type="continuationSeparator" w:id="0">
    <w:p w:rsidR="009D25DF" w:rsidRDefault="009D25DF" w:rsidP="00782B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25DF" w:rsidRDefault="009D25DF" w:rsidP="00782BE7">
      <w:r>
        <w:separator/>
      </w:r>
    </w:p>
  </w:footnote>
  <w:footnote w:type="continuationSeparator" w:id="0">
    <w:p w:rsidR="009D25DF" w:rsidRDefault="009D25DF" w:rsidP="00782BE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E348DB"/>
    <w:multiLevelType w:val="hybridMultilevel"/>
    <w:tmpl w:val="547A595C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B7445B40">
      <w:start w:val="1"/>
      <w:numFmt w:val="taiwaneseCountingThousand"/>
      <w:lvlText w:val="(%2)"/>
      <w:lvlJc w:val="left"/>
      <w:pPr>
        <w:ind w:left="960" w:hanging="480"/>
      </w:pPr>
      <w:rPr>
        <w:rFonts w:hint="eastAsia"/>
        <w:b w:val="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2930516A"/>
    <w:multiLevelType w:val="hybridMultilevel"/>
    <w:tmpl w:val="40764FA4"/>
    <w:lvl w:ilvl="0" w:tplc="F4642D2C">
      <w:start w:val="1"/>
      <w:numFmt w:val="taiwaneseCountingThousand"/>
      <w:lvlText w:val="%1、"/>
      <w:lvlJc w:val="left"/>
      <w:pPr>
        <w:ind w:left="480" w:hanging="480"/>
      </w:pPr>
      <w:rPr>
        <w:lang w:val="en-US"/>
      </w:r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  <w:b w:val="0"/>
      </w:rPr>
    </w:lvl>
    <w:lvl w:ilvl="2" w:tplc="9648F346">
      <w:start w:val="1"/>
      <w:numFmt w:val="decimal"/>
      <w:lvlText w:val="%3."/>
      <w:lvlJc w:val="left"/>
      <w:pPr>
        <w:ind w:left="132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40D607C2"/>
    <w:multiLevelType w:val="hybridMultilevel"/>
    <w:tmpl w:val="4D0EA45C"/>
    <w:lvl w:ilvl="0" w:tplc="04090015">
      <w:start w:val="1"/>
      <w:numFmt w:val="taiwaneseCountingThousand"/>
      <w:lvlText w:val="%1、"/>
      <w:lvlJc w:val="left"/>
      <w:pPr>
        <w:ind w:left="1386" w:hanging="480"/>
      </w:pPr>
    </w:lvl>
    <w:lvl w:ilvl="1" w:tplc="B7445B40">
      <w:start w:val="1"/>
      <w:numFmt w:val="taiwaneseCountingThousand"/>
      <w:lvlText w:val="(%2)"/>
      <w:lvlJc w:val="left"/>
      <w:pPr>
        <w:ind w:left="1866" w:hanging="480"/>
      </w:pPr>
      <w:rPr>
        <w:rFonts w:hint="eastAsia"/>
        <w:b w:val="0"/>
      </w:rPr>
    </w:lvl>
    <w:lvl w:ilvl="2" w:tplc="0409001B" w:tentative="1">
      <w:start w:val="1"/>
      <w:numFmt w:val="lowerRoman"/>
      <w:lvlText w:val="%3."/>
      <w:lvlJc w:val="right"/>
      <w:pPr>
        <w:ind w:left="2346" w:hanging="480"/>
      </w:pPr>
    </w:lvl>
    <w:lvl w:ilvl="3" w:tplc="0409000F" w:tentative="1">
      <w:start w:val="1"/>
      <w:numFmt w:val="decimal"/>
      <w:lvlText w:val="%4."/>
      <w:lvlJc w:val="left"/>
      <w:pPr>
        <w:ind w:left="282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06" w:hanging="480"/>
      </w:pPr>
    </w:lvl>
    <w:lvl w:ilvl="5" w:tplc="0409001B" w:tentative="1">
      <w:start w:val="1"/>
      <w:numFmt w:val="lowerRoman"/>
      <w:lvlText w:val="%6."/>
      <w:lvlJc w:val="right"/>
      <w:pPr>
        <w:ind w:left="3786" w:hanging="480"/>
      </w:pPr>
    </w:lvl>
    <w:lvl w:ilvl="6" w:tplc="0409000F" w:tentative="1">
      <w:start w:val="1"/>
      <w:numFmt w:val="decimal"/>
      <w:lvlText w:val="%7."/>
      <w:lvlJc w:val="left"/>
      <w:pPr>
        <w:ind w:left="426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746" w:hanging="480"/>
      </w:pPr>
    </w:lvl>
    <w:lvl w:ilvl="8" w:tplc="0409001B" w:tentative="1">
      <w:start w:val="1"/>
      <w:numFmt w:val="lowerRoman"/>
      <w:lvlText w:val="%9."/>
      <w:lvlJc w:val="right"/>
      <w:pPr>
        <w:ind w:left="5226" w:hanging="480"/>
      </w:pPr>
    </w:lvl>
  </w:abstractNum>
  <w:abstractNum w:abstractNumId="3">
    <w:nsid w:val="44291918"/>
    <w:multiLevelType w:val="hybridMultilevel"/>
    <w:tmpl w:val="A52E88F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>
    <w:nsid w:val="5FE46CFC"/>
    <w:multiLevelType w:val="hybridMultilevel"/>
    <w:tmpl w:val="B73ABD4E"/>
    <w:lvl w:ilvl="0" w:tplc="B7445B40">
      <w:start w:val="1"/>
      <w:numFmt w:val="taiwaneseCountingThousand"/>
      <w:lvlText w:val="(%1)"/>
      <w:lvlJc w:val="left"/>
      <w:pPr>
        <w:ind w:left="1440" w:hanging="48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5A81"/>
    <w:rsid w:val="00000CC6"/>
    <w:rsid w:val="0001195D"/>
    <w:rsid w:val="0001276E"/>
    <w:rsid w:val="00022185"/>
    <w:rsid w:val="00062C72"/>
    <w:rsid w:val="003438AE"/>
    <w:rsid w:val="00390FCA"/>
    <w:rsid w:val="003A0402"/>
    <w:rsid w:val="003A464E"/>
    <w:rsid w:val="00570D4B"/>
    <w:rsid w:val="00657AF6"/>
    <w:rsid w:val="00713F12"/>
    <w:rsid w:val="00782BE7"/>
    <w:rsid w:val="007E03F8"/>
    <w:rsid w:val="0085679A"/>
    <w:rsid w:val="008C678F"/>
    <w:rsid w:val="0095240D"/>
    <w:rsid w:val="009D25DF"/>
    <w:rsid w:val="00AA3D3C"/>
    <w:rsid w:val="00B25A81"/>
    <w:rsid w:val="00D523A6"/>
    <w:rsid w:val="00F56531"/>
    <w:rsid w:val="00FF1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5A81"/>
    <w:rPr>
      <w:rFonts w:ascii="新細明體" w:eastAsia="新細明體" w:hAnsi="新細明體" w:cs="新細明體"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25A81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782BE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782BE7"/>
    <w:rPr>
      <w:rFonts w:ascii="新細明體" w:eastAsia="新細明體" w:hAnsi="新細明體" w:cs="新細明體"/>
      <w:kern w:val="0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782BE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782BE7"/>
    <w:rPr>
      <w:rFonts w:ascii="新細明體" w:eastAsia="新細明體" w:hAnsi="新細明體" w:cs="新細明體"/>
      <w:kern w:val="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5A81"/>
    <w:rPr>
      <w:rFonts w:ascii="新細明體" w:eastAsia="新細明體" w:hAnsi="新細明體" w:cs="新細明體"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25A81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782BE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782BE7"/>
    <w:rPr>
      <w:rFonts w:ascii="新細明體" w:eastAsia="新細明體" w:hAnsi="新細明體" w:cs="新細明體"/>
      <w:kern w:val="0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782BE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782BE7"/>
    <w:rPr>
      <w:rFonts w:ascii="新細明體" w:eastAsia="新細明體" w:hAnsi="新細明體" w:cs="新細明體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424</Characters>
  <Application>Microsoft Office Word</Application>
  <DocSecurity>0</DocSecurity>
  <Lines>3</Lines>
  <Paragraphs>1</Paragraphs>
  <ScaleCrop>false</ScaleCrop>
  <Company/>
  <LinksUpToDate>false</LinksUpToDate>
  <CharactersWithSpaces>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王麗雅</dc:creator>
  <cp:lastModifiedBy>王麗雅</cp:lastModifiedBy>
  <cp:revision>2</cp:revision>
  <cp:lastPrinted>2019-11-20T08:06:00Z</cp:lastPrinted>
  <dcterms:created xsi:type="dcterms:W3CDTF">2019-12-05T05:45:00Z</dcterms:created>
  <dcterms:modified xsi:type="dcterms:W3CDTF">2019-12-05T05:45:00Z</dcterms:modified>
</cp:coreProperties>
</file>