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744"/>
      </w:tblGrid>
      <w:tr w:rsidR="00211E09" w:rsidRPr="00DD108A" w14:paraId="5431E670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DB8A9" w14:textId="42000059" w:rsidR="00211E09" w:rsidRPr="00DD108A" w:rsidRDefault="00C603C2" w:rsidP="005D55BA">
            <w:pPr>
              <w:pStyle w:val="1"/>
              <w:spacing w:before="0" w:beforeAutospacing="0" w:after="0" w:afterAutospacing="0" w:line="240" w:lineRule="atLeast"/>
              <w:ind w:leftChars="-43" w:left="2" w:hangingChars="29" w:hanging="105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C603C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ab/>
            </w:r>
            <w:r w:rsidR="00B85950" w:rsidRPr="00C603C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全身性作用</w:t>
            </w:r>
            <w:r w:rsidR="00B85950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之</w:t>
            </w:r>
            <w:r w:rsidR="006E522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6E5222">
              <w:rPr>
                <w:rFonts w:ascii="Times New Roman" w:eastAsia="標楷體" w:hAnsi="Times New Roman" w:cs="Times New Roman"/>
                <w:sz w:val="36"/>
                <w:szCs w:val="36"/>
              </w:rPr>
              <w:t>azithromycin</w:t>
            </w:r>
            <w:r w:rsidR="003B36A0" w:rsidRPr="00DD108A">
              <w:rPr>
                <w:rFonts w:ascii="Times New Roman" w:eastAsia="標楷體" w:hAnsi="Times New Roman" w:cs="Times New Roman"/>
                <w:sz w:val="36"/>
                <w:szCs w:val="36"/>
              </w:rPr>
              <w:t>成分</w:t>
            </w:r>
            <w:r w:rsidR="00C1197C" w:rsidRPr="00DD108A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B32C39" w:rsidRPr="00DD108A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DD108A" w14:paraId="67AFF3EB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96235A0" w14:textId="40D3ED1D" w:rsidR="00211E09" w:rsidRPr="00DD108A" w:rsidRDefault="00211E09" w:rsidP="009A332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DD108A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DD108A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DD108A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6E522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114</w:t>
            </w:r>
            <w:r w:rsidR="006E522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/</w:t>
            </w:r>
            <w:r w:rsidR="00514EFF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0</w:t>
            </w:r>
            <w:r w:rsidR="006E522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6</w:t>
            </w:r>
          </w:p>
        </w:tc>
      </w:tr>
      <w:tr w:rsidR="00211E09" w:rsidRPr="00DD108A" w14:paraId="1A1D7302" w14:textId="77777777" w:rsidTr="0093613E">
        <w:trPr>
          <w:trHeight w:val="333"/>
          <w:jc w:val="center"/>
        </w:trPr>
        <w:tc>
          <w:tcPr>
            <w:tcW w:w="1985" w:type="dxa"/>
            <w:vAlign w:val="center"/>
          </w:tcPr>
          <w:p w14:paraId="642D726F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744" w:type="dxa"/>
          </w:tcPr>
          <w:p w14:paraId="3E8BF406" w14:textId="7DF18F87" w:rsidR="00211E09" w:rsidRPr="00DD108A" w:rsidRDefault="00B85950" w:rsidP="009B492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D55BA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全身性作用之</w:t>
            </w:r>
            <w:r w:rsidR="006E522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含</w:t>
            </w:r>
            <w:r w:rsidR="006E5222" w:rsidRPr="006E522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azithromycin</w:t>
            </w:r>
            <w:r w:rsidR="006E522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成分藥品</w:t>
            </w:r>
          </w:p>
        </w:tc>
      </w:tr>
      <w:tr w:rsidR="00211E09" w:rsidRPr="00DD108A" w14:paraId="5E95E8D0" w14:textId="77777777" w:rsidTr="0093613E">
        <w:trPr>
          <w:trHeight w:val="333"/>
          <w:jc w:val="center"/>
        </w:trPr>
        <w:tc>
          <w:tcPr>
            <w:tcW w:w="1985" w:type="dxa"/>
            <w:vAlign w:val="center"/>
          </w:tcPr>
          <w:p w14:paraId="76D1CB9F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</w:rPr>
              <w:t>藥品名稱</w:t>
            </w:r>
          </w:p>
          <w:p w14:paraId="697D7FEE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744" w:type="dxa"/>
          </w:tcPr>
          <w:p w14:paraId="14DE25E3" w14:textId="50EA4441" w:rsidR="00F3709C" w:rsidRPr="00DD108A" w:rsidRDefault="006A71AD" w:rsidP="006A71AD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D108A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B85950" w:rsidRPr="009F4817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全身性作用之</w:t>
            </w:r>
            <w:r w:rsidRPr="005D55BA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</w:rPr>
              <w:t>含</w:t>
            </w:r>
            <w:r w:rsidR="00035D97" w:rsidRPr="009F4817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azithr</w:t>
            </w:r>
            <w:r w:rsidR="00035D97" w:rsidRPr="00035D97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omycin</w:t>
            </w:r>
            <w:r w:rsidR="00035D97" w:rsidRPr="00035D97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成分藥品許可證共</w:t>
            </w:r>
            <w:r w:rsidR="00035D97" w:rsidRPr="00035D97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9</w:t>
            </w:r>
            <w:r w:rsidR="00035D97" w:rsidRPr="00035D97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035D97" w:rsidRPr="00035D97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(</w:t>
            </w:r>
            <w:r w:rsidR="00035D97" w:rsidRPr="00035D97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皆為口服劑型</w:t>
            </w:r>
            <w:r w:rsidR="00035D97" w:rsidRPr="00035D97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)</w:t>
            </w:r>
            <w:r w:rsidR="00F3709C" w:rsidRPr="00DD108A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。</w:t>
            </w:r>
          </w:p>
          <w:p w14:paraId="6E5C1B72" w14:textId="7075FC45" w:rsidR="00BF31DF" w:rsidRPr="00DD108A" w:rsidRDefault="006A71AD" w:rsidP="006849E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D108A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網址：</w:t>
            </w:r>
            <w:hyperlink r:id="rId7" w:history="1">
              <w:r w:rsidR="006849EF" w:rsidRPr="00C7192E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https://lmspiq.fda.gov.tw/web/DRPIQ/DRPIQLicSearch</w:t>
              </w:r>
            </w:hyperlink>
          </w:p>
        </w:tc>
      </w:tr>
      <w:tr w:rsidR="00211E09" w:rsidRPr="00DD108A" w14:paraId="46E817EE" w14:textId="77777777" w:rsidTr="0093613E">
        <w:trPr>
          <w:trHeight w:val="333"/>
          <w:jc w:val="center"/>
        </w:trPr>
        <w:tc>
          <w:tcPr>
            <w:tcW w:w="1985" w:type="dxa"/>
            <w:vAlign w:val="center"/>
          </w:tcPr>
          <w:p w14:paraId="38114BE7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744" w:type="dxa"/>
          </w:tcPr>
          <w:p w14:paraId="0A99BCAE" w14:textId="4712FFA6" w:rsidR="00F03FCE" w:rsidRPr="006849EF" w:rsidRDefault="00342AF8" w:rsidP="006849EF">
            <w:pPr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342AF8">
              <w:rPr>
                <w:rFonts w:ascii="Times New Roman" w:eastAsia="標楷體" w:hAnsi="Times New Roman" w:hint="eastAsia"/>
                <w:szCs w:val="24"/>
              </w:rPr>
              <w:t>革蘭氏陽性、陰性及</w:t>
            </w:r>
            <w:proofErr w:type="gramStart"/>
            <w:r w:rsidRPr="00342AF8">
              <w:rPr>
                <w:rFonts w:ascii="Times New Roman" w:eastAsia="標楷體" w:hAnsi="Times New Roman" w:hint="eastAsia"/>
                <w:szCs w:val="24"/>
              </w:rPr>
              <w:t>厭氧菌</w:t>
            </w:r>
            <w:proofErr w:type="gramEnd"/>
            <w:r w:rsidRPr="00342AF8">
              <w:rPr>
                <w:rFonts w:ascii="Times New Roman" w:eastAsia="標楷體" w:hAnsi="Times New Roman" w:hint="eastAsia"/>
                <w:szCs w:val="24"/>
              </w:rPr>
              <w:t>引起之下呼吸道感染</w:t>
            </w:r>
            <w:r w:rsidR="008A2573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342AF8">
              <w:rPr>
                <w:rFonts w:ascii="Times New Roman" w:eastAsia="標楷體" w:hAnsi="Times New Roman" w:hint="eastAsia"/>
                <w:szCs w:val="24"/>
              </w:rPr>
              <w:t>支氣管炎及肺炎</w:t>
            </w:r>
            <w:r w:rsidR="008A2573"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342AF8">
              <w:rPr>
                <w:rFonts w:ascii="Times New Roman" w:eastAsia="標楷體" w:hAnsi="Times New Roman" w:hint="eastAsia"/>
                <w:szCs w:val="24"/>
              </w:rPr>
              <w:t>、皮膚及軟組織感染、中耳炎、上呼吸道感染和性傳染病</w:t>
            </w:r>
            <w:r w:rsidR="000D6621" w:rsidRPr="006849EF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211E09" w:rsidRPr="00DD108A" w14:paraId="153D073C" w14:textId="77777777" w:rsidTr="0093613E">
        <w:trPr>
          <w:jc w:val="center"/>
        </w:trPr>
        <w:tc>
          <w:tcPr>
            <w:tcW w:w="1985" w:type="dxa"/>
            <w:vAlign w:val="center"/>
          </w:tcPr>
          <w:p w14:paraId="50EAF28E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744" w:type="dxa"/>
          </w:tcPr>
          <w:p w14:paraId="60681D68" w14:textId="54F57E10" w:rsidR="00573D2C" w:rsidRPr="00C94659" w:rsidRDefault="00C94659" w:rsidP="003A0731">
            <w:pPr>
              <w:autoSpaceDE w:val="0"/>
              <w:autoSpaceDN w:val="0"/>
              <w:adjustRightInd w:val="0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</w:t>
            </w:r>
            <w:r w:rsidRPr="00C94659">
              <w:rPr>
                <w:rFonts w:ascii="Times New Roman" w:eastAsia="標楷體" w:hAnsi="Times New Roman"/>
                <w:color w:val="000000" w:themeColor="text1"/>
                <w:szCs w:val="24"/>
              </w:rPr>
              <w:t>zithromycin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屬於</w:t>
            </w:r>
            <w:proofErr w:type="gramStart"/>
            <w:r w:rsidR="006B5D10" w:rsidRPr="00C94659">
              <w:rPr>
                <w:rFonts w:ascii="Times New Roman" w:eastAsia="標楷體" w:hAnsi="Times New Roman"/>
                <w:color w:val="000000" w:themeColor="text1"/>
                <w:szCs w:val="24"/>
              </w:rPr>
              <w:t>巨環類</w:t>
            </w:r>
            <w:proofErr w:type="gramEnd"/>
            <w:r w:rsidR="006B5D10" w:rsidRPr="00C94659">
              <w:rPr>
                <w:rFonts w:ascii="Times New Roman" w:eastAsia="標楷體" w:hAnsi="Times New Roman"/>
                <w:color w:val="000000" w:themeColor="text1"/>
                <w:szCs w:val="24"/>
              </w:rPr>
              <w:t>抗生</w:t>
            </w:r>
            <w:r w:rsidR="00335FF7" w:rsidRPr="00C94659">
              <w:rPr>
                <w:rFonts w:ascii="Times New Roman" w:eastAsia="標楷體" w:hAnsi="Times New Roman"/>
                <w:color w:val="000000" w:themeColor="text1"/>
                <w:szCs w:val="24"/>
              </w:rPr>
              <w:t>素</w:t>
            </w:r>
            <w:r w:rsidR="008A2573">
              <w:rPr>
                <w:rFonts w:ascii="Times New Roman" w:eastAsia="標楷體" w:hAnsi="Times New Roman" w:hint="eastAsia"/>
                <w:szCs w:val="24"/>
              </w:rPr>
              <w:t>(</w:t>
            </w:r>
            <w:r w:rsidR="006B5D10" w:rsidRPr="00C94659">
              <w:rPr>
                <w:rFonts w:ascii="Times New Roman" w:eastAsia="標楷體" w:hAnsi="Times New Roman"/>
                <w:szCs w:val="24"/>
              </w:rPr>
              <w:t>macrolide antibiotics</w:t>
            </w:r>
            <w:r w:rsidR="008A2573">
              <w:rPr>
                <w:rFonts w:ascii="Times New Roman" w:eastAsia="標楷體" w:hAnsi="Times New Roman" w:hint="eastAsia"/>
                <w:szCs w:val="24"/>
              </w:rPr>
              <w:t>)</w:t>
            </w:r>
            <w:r>
              <w:rPr>
                <w:rFonts w:ascii="標楷體" w:eastAsia="標楷體" w:hAnsi="標楷體" w:hint="eastAsia"/>
                <w:szCs w:val="24"/>
              </w:rPr>
              <w:t>，</w:t>
            </w:r>
            <w:r w:rsidR="008A2573">
              <w:rPr>
                <w:rFonts w:ascii="Times New Roman" w:eastAsia="標楷體" w:hAnsi="Times New Roman" w:hint="eastAsia"/>
                <w:szCs w:val="24"/>
              </w:rPr>
              <w:t>可</w:t>
            </w:r>
            <w:r w:rsidR="005C634F" w:rsidRPr="006849EF">
              <w:rPr>
                <w:rFonts w:ascii="Times New Roman" w:eastAsia="標楷體" w:hAnsi="Times New Roman"/>
                <w:szCs w:val="24"/>
              </w:rPr>
              <w:t>與</w:t>
            </w:r>
            <w:r>
              <w:rPr>
                <w:rFonts w:ascii="Times New Roman" w:eastAsia="標楷體" w:hAnsi="Times New Roman" w:hint="eastAsia"/>
                <w:szCs w:val="24"/>
              </w:rPr>
              <w:t>具感受性的</w:t>
            </w:r>
            <w:r w:rsidR="005C634F" w:rsidRPr="006849EF">
              <w:rPr>
                <w:rFonts w:ascii="Times New Roman" w:eastAsia="標楷體" w:hAnsi="Times New Roman"/>
                <w:szCs w:val="24"/>
              </w:rPr>
              <w:t>細菌</w:t>
            </w:r>
            <w:r w:rsidR="00B85950" w:rsidRPr="006849EF">
              <w:rPr>
                <w:rFonts w:ascii="Times New Roman" w:eastAsia="標楷體" w:hAnsi="Times New Roman"/>
                <w:szCs w:val="24"/>
              </w:rPr>
              <w:t>50</w:t>
            </w:r>
            <w:r w:rsidR="00B85950">
              <w:rPr>
                <w:rFonts w:ascii="Times New Roman" w:eastAsia="標楷體" w:hAnsi="Times New Roman" w:hint="eastAsia"/>
                <w:szCs w:val="24"/>
              </w:rPr>
              <w:t>S</w:t>
            </w:r>
            <w:proofErr w:type="gramStart"/>
            <w:r w:rsidR="005C634F" w:rsidRPr="006849EF">
              <w:rPr>
                <w:rFonts w:ascii="Times New Roman" w:eastAsia="標楷體" w:hAnsi="Times New Roman"/>
                <w:szCs w:val="24"/>
              </w:rPr>
              <w:t>核醣體次</w:t>
            </w:r>
            <w:proofErr w:type="gramEnd"/>
            <w:r w:rsidR="005C634F" w:rsidRPr="006849EF">
              <w:rPr>
                <w:rFonts w:ascii="Times New Roman" w:eastAsia="標楷體" w:hAnsi="Times New Roman"/>
                <w:szCs w:val="24"/>
              </w:rPr>
              <w:t>單位</w:t>
            </w:r>
            <w:r>
              <w:rPr>
                <w:rFonts w:ascii="Times New Roman" w:eastAsia="標楷體" w:hAnsi="Times New Roman" w:hint="eastAsia"/>
                <w:szCs w:val="24"/>
              </w:rPr>
              <w:t>中的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23S </w:t>
            </w:r>
            <w:r>
              <w:rPr>
                <w:rFonts w:ascii="Times New Roman" w:eastAsia="標楷體" w:hAnsi="Times New Roman"/>
                <w:szCs w:val="24"/>
              </w:rPr>
              <w:t>rRNA</w:t>
            </w:r>
            <w:r w:rsidR="005C634F" w:rsidRPr="006849EF">
              <w:rPr>
                <w:rFonts w:ascii="Times New Roman" w:eastAsia="標楷體" w:hAnsi="Times New Roman"/>
                <w:szCs w:val="24"/>
              </w:rPr>
              <w:t>結合，阻止</w:t>
            </w:r>
            <w:proofErr w:type="gramStart"/>
            <w:r w:rsidR="005C634F" w:rsidRPr="006849EF">
              <w:rPr>
                <w:rFonts w:ascii="Times New Roman" w:eastAsia="標楷體" w:hAnsi="Times New Roman"/>
                <w:szCs w:val="24"/>
              </w:rPr>
              <w:t>胜</w:t>
            </w:r>
            <w:proofErr w:type="gramEnd"/>
            <w:r w:rsidR="005C634F" w:rsidRPr="006849EF">
              <w:rPr>
                <w:rFonts w:ascii="Times New Roman" w:eastAsia="標楷體" w:hAnsi="Times New Roman"/>
                <w:szCs w:val="24"/>
              </w:rPr>
              <w:t>肽之</w:t>
            </w:r>
            <w:r w:rsidR="002E03D6" w:rsidRPr="006849EF">
              <w:rPr>
                <w:rFonts w:ascii="Times New Roman" w:eastAsia="標楷體" w:hAnsi="Times New Roman" w:hint="eastAsia"/>
                <w:szCs w:val="24"/>
              </w:rPr>
              <w:t>轉胜肽作用</w:t>
            </w:r>
            <w:r w:rsidR="008A2573">
              <w:rPr>
                <w:rFonts w:ascii="標楷體" w:eastAsia="標楷體" w:hAnsi="標楷體" w:hint="eastAsia"/>
                <w:szCs w:val="24"/>
              </w:rPr>
              <w:t>(</w:t>
            </w:r>
            <w:r w:rsidR="00F17436" w:rsidRPr="006849EF">
              <w:rPr>
                <w:rFonts w:ascii="Times New Roman" w:eastAsia="標楷體" w:hAnsi="Times New Roman" w:hint="eastAsia"/>
                <w:szCs w:val="24"/>
              </w:rPr>
              <w:t>t</w:t>
            </w:r>
            <w:r w:rsidR="00F17436" w:rsidRPr="006849EF">
              <w:rPr>
                <w:rFonts w:ascii="Times New Roman" w:eastAsia="標楷體" w:hAnsi="Times New Roman"/>
                <w:szCs w:val="24"/>
              </w:rPr>
              <w:t>ranspeptidation</w:t>
            </w:r>
            <w:r w:rsidR="008A2573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1E0447">
              <w:rPr>
                <w:rFonts w:ascii="Times New Roman" w:eastAsia="標楷體" w:hAnsi="Times New Roman" w:hint="eastAsia"/>
                <w:szCs w:val="24"/>
              </w:rPr>
              <w:t>、</w:t>
            </w:r>
            <w:r w:rsidR="00F17436" w:rsidRPr="006849EF">
              <w:rPr>
                <w:rFonts w:ascii="Times New Roman" w:eastAsia="標楷體" w:hAnsi="Times New Roman" w:hint="eastAsia"/>
                <w:szCs w:val="24"/>
              </w:rPr>
              <w:t>轉位作用</w:t>
            </w:r>
            <w:r w:rsidR="008A2573">
              <w:rPr>
                <w:rFonts w:ascii="標楷體" w:eastAsia="標楷體" w:hAnsi="標楷體" w:hint="eastAsia"/>
                <w:szCs w:val="24"/>
              </w:rPr>
              <w:t>(</w:t>
            </w:r>
            <w:r w:rsidR="008B5FC2" w:rsidRPr="006849EF">
              <w:rPr>
                <w:rFonts w:ascii="Times New Roman" w:eastAsia="標楷體" w:hAnsi="Times New Roman" w:hint="eastAsia"/>
                <w:szCs w:val="24"/>
              </w:rPr>
              <w:t>t</w:t>
            </w:r>
            <w:r w:rsidR="008B5FC2" w:rsidRPr="006849EF">
              <w:rPr>
                <w:rFonts w:ascii="Times New Roman" w:eastAsia="標楷體" w:hAnsi="Times New Roman"/>
                <w:szCs w:val="24"/>
              </w:rPr>
              <w:t>ranslocation</w:t>
            </w:r>
            <w:r w:rsidR="008A2573">
              <w:rPr>
                <w:rFonts w:ascii="Times New Roman" w:eastAsia="標楷體" w:hAnsi="Times New Roman" w:hint="eastAsia"/>
                <w:szCs w:val="24"/>
              </w:rPr>
              <w:t>)</w:t>
            </w:r>
            <w:r w:rsidR="0049350B" w:rsidRPr="006849EF">
              <w:rPr>
                <w:rFonts w:ascii="標楷體" w:eastAsia="標楷體" w:hAnsi="標楷體" w:hint="eastAsia"/>
                <w:szCs w:val="24"/>
              </w:rPr>
              <w:t>，</w:t>
            </w:r>
            <w:r w:rsidR="005C634F" w:rsidRPr="006849EF">
              <w:rPr>
                <w:rFonts w:ascii="Times New Roman" w:eastAsia="標楷體" w:hAnsi="Times New Roman"/>
                <w:szCs w:val="24"/>
              </w:rPr>
              <w:t>進而抑制細菌蛋白質的合成。</w:t>
            </w:r>
          </w:p>
        </w:tc>
      </w:tr>
      <w:tr w:rsidR="00211E09" w:rsidRPr="00DD108A" w14:paraId="44C8663F" w14:textId="77777777" w:rsidTr="0093613E">
        <w:trPr>
          <w:trHeight w:val="896"/>
          <w:jc w:val="center"/>
        </w:trPr>
        <w:tc>
          <w:tcPr>
            <w:tcW w:w="1985" w:type="dxa"/>
            <w:vAlign w:val="center"/>
          </w:tcPr>
          <w:p w14:paraId="614B4437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DD108A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744" w:type="dxa"/>
          </w:tcPr>
          <w:p w14:paraId="38DBA130" w14:textId="21D557CF" w:rsidR="00F217C3" w:rsidRPr="00DD108A" w:rsidRDefault="00F217C3" w:rsidP="003F54EF">
            <w:pPr>
              <w:ind w:left="17" w:firstLineChars="7" w:firstLine="17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DD108A">
              <w:rPr>
                <w:rFonts w:ascii="Times New Roman" w:eastAsia="標楷體" w:hAnsi="Times New Roman"/>
                <w:color w:val="000000" w:themeColor="text1"/>
                <w:szCs w:val="24"/>
              </w:rPr>
              <w:t>2</w:t>
            </w:r>
            <w:r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02</w:t>
            </w:r>
            <w:r w:rsidR="00C82319"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5</w:t>
            </w:r>
            <w:r w:rsidR="000E474E"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/5/23</w:t>
            </w:r>
            <w:r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0E474E"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歐洲</w:t>
            </w:r>
            <w:r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藥品管理局</w:t>
            </w:r>
            <w:r w:rsidR="000E474E"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(EMA)</w:t>
            </w:r>
            <w:r w:rsidR="003213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 w:rsidR="000E474E"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人用藥品委員會</w:t>
            </w:r>
            <w:r w:rsidR="000E474E"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(CHMP)</w:t>
            </w:r>
            <w:r w:rsidR="0023689D"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針對</w:t>
            </w:r>
            <w:r w:rsidR="004201C9" w:rsidRPr="005D55BA">
              <w:rPr>
                <w:rFonts w:ascii="Times New Roman" w:eastAsia="標楷體" w:hAnsi="Times New Roman" w:hint="eastAsia"/>
                <w:szCs w:val="24"/>
              </w:rPr>
              <w:t>全身性作用</w:t>
            </w:r>
            <w:r w:rsidR="00865497" w:rsidRPr="005D55BA">
              <w:rPr>
                <w:rFonts w:ascii="Times New Roman" w:eastAsia="標楷體" w:hAnsi="Times New Roman" w:hint="eastAsia"/>
                <w:szCs w:val="24"/>
              </w:rPr>
              <w:t>含</w:t>
            </w:r>
            <w:r w:rsidR="00865497" w:rsidRPr="00E968F7">
              <w:rPr>
                <w:rFonts w:ascii="Times New Roman" w:eastAsia="標楷體" w:hAnsi="Times New Roman"/>
                <w:color w:val="000000" w:themeColor="text1"/>
                <w:szCs w:val="24"/>
              </w:rPr>
              <w:t>azithromy</w:t>
            </w:r>
            <w:r w:rsidR="00865497" w:rsidRPr="0098294A">
              <w:rPr>
                <w:rFonts w:ascii="Times New Roman" w:eastAsia="標楷體" w:hAnsi="Times New Roman"/>
                <w:color w:val="000000" w:themeColor="text1"/>
                <w:szCs w:val="24"/>
              </w:rPr>
              <w:t>cin</w:t>
            </w:r>
            <w:r w:rsidR="00865497" w:rsidRPr="0098294A">
              <w:rPr>
                <w:rFonts w:ascii="Times New Roman" w:eastAsia="標楷體" w:hAnsi="Times New Roman"/>
                <w:color w:val="000000" w:themeColor="text1"/>
                <w:szCs w:val="24"/>
              </w:rPr>
              <w:t>成分</w:t>
            </w:r>
            <w:r w:rsidR="0098294A" w:rsidRPr="0098294A">
              <w:rPr>
                <w:rFonts w:ascii="Times New Roman" w:eastAsia="標楷體" w:hAnsi="Times New Roman"/>
                <w:color w:val="000000" w:themeColor="text1"/>
                <w:szCs w:val="24"/>
              </w:rPr>
              <w:t>藥品建議新的</w:t>
            </w:r>
            <w:r w:rsidR="004201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風險</w:t>
            </w:r>
            <w:r w:rsidR="0098294A" w:rsidRPr="0098294A">
              <w:rPr>
                <w:rFonts w:ascii="Times New Roman" w:eastAsia="標楷體" w:hAnsi="Times New Roman"/>
                <w:color w:val="000000" w:themeColor="text1"/>
                <w:szCs w:val="24"/>
              </w:rPr>
              <w:t>管控措施</w:t>
            </w:r>
            <w:r w:rsidR="005B5A6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="005B5A6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包含適應症變更</w:t>
            </w:r>
            <w:r w:rsidR="005B5A6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4201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5B5A6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旨在</w:t>
            </w:r>
            <w:r w:rsidR="004201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優化藥品的使用及減少抗生素</w:t>
            </w:r>
            <w:r w:rsidR="004201C9" w:rsidRPr="0098294A">
              <w:rPr>
                <w:rFonts w:ascii="Times New Roman" w:eastAsia="標楷體" w:hAnsi="Times New Roman"/>
                <w:color w:val="000000" w:themeColor="text1"/>
                <w:szCs w:val="24"/>
              </w:rPr>
              <w:t>抗藥性</w:t>
            </w:r>
            <w:r w:rsidR="004201C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的產生</w:t>
            </w:r>
            <w:r w:rsidRPr="00DD108A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  <w:p w14:paraId="39016D01" w14:textId="77777777" w:rsidR="00671377" w:rsidRDefault="00F217C3" w:rsidP="00F217C3">
            <w:pPr>
              <w:ind w:left="17" w:firstLineChars="7" w:firstLine="17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DD108A">
              <w:rPr>
                <w:rFonts w:ascii="Times New Roman" w:eastAsia="標楷體" w:hAnsi="Times New Roman"/>
                <w:color w:val="000000" w:themeColor="text1"/>
                <w:szCs w:val="24"/>
              </w:rPr>
              <w:t>網址：</w:t>
            </w:r>
          </w:p>
          <w:p w14:paraId="1F84CD65" w14:textId="10965268" w:rsidR="00960C09" w:rsidRPr="00671377" w:rsidRDefault="00715EAD" w:rsidP="00F217C3">
            <w:pPr>
              <w:ind w:left="17" w:firstLineChars="7" w:firstLine="17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hyperlink r:id="rId8" w:history="1">
              <w:r w:rsidR="00671377" w:rsidRPr="005D55BA">
                <w:rPr>
                  <w:rStyle w:val="ab"/>
                  <w:rFonts w:ascii="Times New Roman" w:hAnsi="Times New Roman"/>
                </w:rPr>
                <w:t>https://www.ema.europa.eu/en/news/changes-use-antibiotic-azithromycin</w:t>
              </w:r>
            </w:hyperlink>
            <w:r w:rsidR="00671377" w:rsidRPr="005D55BA">
              <w:rPr>
                <w:rFonts w:ascii="Times New Roman" w:hAnsi="Times New Roman"/>
              </w:rPr>
              <w:t xml:space="preserve"> </w:t>
            </w:r>
          </w:p>
        </w:tc>
      </w:tr>
      <w:tr w:rsidR="0093613E" w:rsidRPr="00DD108A" w14:paraId="3281C9CD" w14:textId="77777777" w:rsidTr="0093613E">
        <w:trPr>
          <w:trHeight w:val="896"/>
          <w:jc w:val="center"/>
        </w:trPr>
        <w:tc>
          <w:tcPr>
            <w:tcW w:w="1985" w:type="dxa"/>
            <w:vAlign w:val="center"/>
          </w:tcPr>
          <w:p w14:paraId="042CFFE4" w14:textId="34B578D6" w:rsidR="0093613E" w:rsidRPr="00DD108A" w:rsidRDefault="0093613E" w:rsidP="0093613E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DD108A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744" w:type="dxa"/>
          </w:tcPr>
          <w:p w14:paraId="30E982C2" w14:textId="77777777" w:rsidR="0093613E" w:rsidRPr="001E2BF8" w:rsidRDefault="0093613E" w:rsidP="0093613E">
            <w:pPr>
              <w:pStyle w:val="a9"/>
              <w:numPr>
                <w:ilvl w:val="0"/>
                <w:numId w:val="46"/>
              </w:numPr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A</w:t>
            </w:r>
            <w:r w:rsidRPr="009A488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zithromycin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可用</w:t>
            </w:r>
            <w:r w:rsidRPr="009A488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於兒童及成人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多種</w:t>
            </w:r>
            <w:r w:rsidRPr="009A488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感染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症之治療</w:t>
            </w:r>
            <w:r w:rsidRPr="009A488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列於</w:t>
            </w:r>
            <w:r w:rsidRPr="009A488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世界衛生組織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的</w:t>
            </w:r>
            <w:r w:rsidRPr="00E4750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基本藥物標準清單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(</w:t>
            </w:r>
            <w:r w:rsidRPr="00E4750A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WHO Model List of Essential Medicines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中，顯示其對於公共衛生的重要性。</w:t>
            </w:r>
            <w:r w:rsidRPr="00613B2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然</w:t>
            </w:r>
            <w:r w:rsidRPr="00613B2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azithromycin</w:t>
            </w:r>
            <w:r w:rsidRPr="00613B2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亦被世界衛生組織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歸類</w:t>
            </w:r>
            <w:r w:rsidRPr="00613B2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為具較高抗藥性風險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Pr="00613B2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抗生素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(</w:t>
            </w:r>
            <w:r w:rsidRPr="00613B2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屬於</w:t>
            </w:r>
            <w:proofErr w:type="spellStart"/>
            <w:r w:rsidRPr="00613B2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AWaRe</w:t>
            </w:r>
            <w:proofErr w:type="spellEnd"/>
            <w:r w:rsidRPr="00613B2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分類中的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「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W</w:t>
            </w:r>
            <w:r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atch</w:t>
            </w:r>
            <w:r w:rsidRPr="00613B2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類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」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抗生素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，建議</w:t>
            </w:r>
            <w:r w:rsidRPr="005D55BA">
              <w:rPr>
                <w:rFonts w:ascii="Times New Roman" w:eastAsia="標楷體" w:hAnsi="Times New Roman" w:hint="eastAsia"/>
                <w:kern w:val="0"/>
                <w:szCs w:val="24"/>
              </w:rPr>
              <w:t>應謹慎使用並監測。儘管如此，數據顯示</w:t>
            </w:r>
            <w:proofErr w:type="gramStart"/>
            <w:r w:rsidRPr="005D55BA">
              <w:rPr>
                <w:rFonts w:ascii="Times New Roman" w:eastAsia="標楷體" w:hAnsi="Times New Roman" w:hint="eastAsia"/>
                <w:kern w:val="0"/>
                <w:szCs w:val="24"/>
              </w:rPr>
              <w:t>近幾年來</w:t>
            </w:r>
            <w:proofErr w:type="gramEnd"/>
            <w:r w:rsidRPr="005D55BA">
              <w:rPr>
                <w:rFonts w:ascii="Times New Roman" w:eastAsia="標楷體" w:hAnsi="Times New Roman"/>
                <w:kern w:val="0"/>
                <w:szCs w:val="24"/>
              </w:rPr>
              <w:t>azithromycin</w:t>
            </w:r>
            <w:r w:rsidRPr="005D55BA">
              <w:rPr>
                <w:rFonts w:ascii="Times New Roman" w:eastAsia="標楷體" w:hAnsi="Times New Roman" w:hint="eastAsia"/>
                <w:kern w:val="0"/>
                <w:szCs w:val="24"/>
              </w:rPr>
              <w:t>的使用量增加，且抗藥性也增加。近期一項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由</w:t>
            </w:r>
            <w:r w:rsidRPr="005D55BA">
              <w:rPr>
                <w:rFonts w:ascii="Times New Roman" w:eastAsia="標楷體" w:hAnsi="Times New Roman"/>
                <w:kern w:val="0"/>
                <w:szCs w:val="24"/>
              </w:rPr>
              <w:t>EMA</w:t>
            </w:r>
            <w:r w:rsidRPr="005D55BA">
              <w:rPr>
                <w:rFonts w:ascii="Times New Roman" w:eastAsia="標楷體" w:hAnsi="Times New Roman" w:hint="eastAsia"/>
                <w:kern w:val="0"/>
                <w:szCs w:val="24"/>
              </w:rPr>
              <w:t>委託執行的研究顯示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Pr="005D55BA">
              <w:rPr>
                <w:rFonts w:ascii="Times New Roman" w:eastAsia="標楷體" w:hAnsi="Times New Roman"/>
                <w:kern w:val="0"/>
                <w:szCs w:val="24"/>
              </w:rPr>
              <w:t>azithromycin</w:t>
            </w:r>
            <w:r w:rsidRPr="005D55BA">
              <w:rPr>
                <w:rFonts w:ascii="Times New Roman" w:eastAsia="標楷體" w:hAnsi="Times New Roman" w:hint="eastAsia"/>
                <w:kern w:val="0"/>
                <w:szCs w:val="24"/>
              </w:rPr>
              <w:t>在歐盟地區被廣泛的使用於成人及兒童。</w:t>
            </w:r>
          </w:p>
          <w:p w14:paraId="094A29BA" w14:textId="77777777" w:rsidR="0093613E" w:rsidRDefault="0093613E" w:rsidP="0093613E">
            <w:pPr>
              <w:pStyle w:val="Web"/>
              <w:numPr>
                <w:ilvl w:val="0"/>
                <w:numId w:val="46"/>
              </w:numPr>
              <w:spacing w:after="0" w:afterAutospacing="0" w:line="400" w:lineRule="exact"/>
              <w:ind w:left="357" w:hanging="357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1E2BF8">
              <w:rPr>
                <w:rFonts w:ascii="Times New Roman" w:eastAsia="標楷體" w:hAnsi="Times New Roman" w:cs="Times New Roman"/>
                <w:color w:val="000000"/>
              </w:rPr>
              <w:t>為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依據現有證據推動更合理的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azithromycin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使用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及維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持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其有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效性，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E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MA-CHMP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針對含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azithromycin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成分口服及注射劑型藥品於各種核准適應症的風險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/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效益進行再評估。經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全面性審查現有數據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(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包括臨床研究結果、歐盟核准適應症相關病原菌之抗藥性數據、治療期間產生抗藥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之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可能性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的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風險評估及現行治療指引等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)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，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C</w:t>
            </w:r>
            <w:r>
              <w:rPr>
                <w:rFonts w:ascii="Times New Roman" w:eastAsia="標楷體" w:hAnsi="Times New Roman" w:cs="Times New Roman"/>
                <w:color w:val="000000"/>
              </w:rPr>
              <w:t>HMP</w:t>
            </w:r>
            <w:r w:rsidRPr="001E2BF8">
              <w:rPr>
                <w:rFonts w:ascii="Times New Roman" w:eastAsia="標楷體" w:hAnsi="Times New Roman" w:cs="Times New Roman"/>
                <w:color w:val="000000"/>
              </w:rPr>
              <w:t>建議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如下：</w:t>
            </w:r>
          </w:p>
          <w:p w14:paraId="04467E09" w14:textId="77777777" w:rsidR="0093613E" w:rsidRDefault="0093613E" w:rsidP="0093613E">
            <w:pPr>
              <w:pStyle w:val="Web"/>
              <w:numPr>
                <w:ilvl w:val="0"/>
                <w:numId w:val="55"/>
              </w:numPr>
              <w:spacing w:before="0" w:beforeAutospacing="0" w:after="0" w:afterAutospacing="0" w:line="400" w:lineRule="exact"/>
              <w:ind w:left="522" w:hanging="284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t>移除</w:t>
            </w:r>
            <w:r w:rsidRPr="00CC1298">
              <w:rPr>
                <w:rFonts w:ascii="Times New Roman" w:eastAsia="標楷體" w:hAnsi="Times New Roman" w:cs="Times New Roman"/>
                <w:color w:val="000000"/>
              </w:rPr>
              <w:t>口服劑型藥品用於中度痤瘡、幽門螺旋桿菌之根除治療、預防嗜酸</w:t>
            </w:r>
            <w:r w:rsidRPr="00CC1298">
              <w:rPr>
                <w:rFonts w:ascii="Times New Roman" w:eastAsia="標楷體" w:hAnsi="Times New Roman" w:cs="Times New Roman"/>
                <w:color w:val="000000"/>
              </w:rPr>
              <w:t>/</w:t>
            </w:r>
            <w:proofErr w:type="gramStart"/>
            <w:r w:rsidRPr="00CC1298">
              <w:rPr>
                <w:rFonts w:ascii="Times New Roman" w:eastAsia="標楷體" w:hAnsi="Times New Roman" w:cs="Times New Roman"/>
                <w:color w:val="000000"/>
              </w:rPr>
              <w:t>非嗜酸</w:t>
            </w:r>
            <w:proofErr w:type="gramEnd"/>
            <w:r w:rsidRPr="00CC1298">
              <w:rPr>
                <w:rFonts w:ascii="Times New Roman" w:eastAsia="標楷體" w:hAnsi="Times New Roman" w:cs="Times New Roman"/>
                <w:color w:val="000000"/>
              </w:rPr>
              <w:t>細胞性氣喘之惡化</w:t>
            </w:r>
            <w:r w:rsidRPr="00CC1298">
              <w:rPr>
                <w:rFonts w:ascii="Times New Roman" w:eastAsia="標楷體" w:hAnsi="Times New Roman" w:cs="Times New Roman"/>
                <w:color w:val="000000"/>
              </w:rPr>
              <w:t>/</w:t>
            </w:r>
            <w:r w:rsidRPr="00CC1298">
              <w:rPr>
                <w:rFonts w:ascii="Times New Roman" w:eastAsia="標楷體" w:hAnsi="Times New Roman" w:cs="Times New Roman"/>
                <w:color w:val="000000"/>
              </w:rPr>
              <w:t>發作等適應症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，因</w:t>
            </w:r>
            <w:r w:rsidRPr="00CC1298">
              <w:rPr>
                <w:rFonts w:ascii="Times New Roman" w:eastAsia="標楷體" w:hAnsi="Times New Roman" w:cs="Times New Roman"/>
                <w:color w:val="000000"/>
              </w:rPr>
              <w:t>現有證據不足以支持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前述適應症之</w:t>
            </w:r>
            <w:r w:rsidRPr="00CC1298">
              <w:rPr>
                <w:rFonts w:ascii="Times New Roman" w:eastAsia="標楷體" w:hAnsi="Times New Roman" w:cs="Times New Roman"/>
                <w:color w:val="000000"/>
              </w:rPr>
              <w:t>有效性，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故其</w:t>
            </w:r>
            <w:r w:rsidRPr="00CC1298">
              <w:rPr>
                <w:rFonts w:ascii="Times New Roman" w:eastAsia="標楷體" w:hAnsi="Times New Roman" w:cs="Times New Roman"/>
                <w:color w:val="000000"/>
              </w:rPr>
              <w:t>臨床效益未大於風險。</w:t>
            </w:r>
          </w:p>
          <w:p w14:paraId="29564539" w14:textId="77777777" w:rsidR="0093613E" w:rsidRDefault="0093613E" w:rsidP="0093613E">
            <w:pPr>
              <w:pStyle w:val="Web"/>
              <w:numPr>
                <w:ilvl w:val="0"/>
                <w:numId w:val="55"/>
              </w:numPr>
              <w:spacing w:before="0" w:beforeAutospacing="0" w:after="0" w:afterAutospacing="0" w:line="400" w:lineRule="exact"/>
              <w:ind w:left="522" w:hanging="284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93613E">
              <w:rPr>
                <w:rFonts w:ascii="Times New Roman" w:eastAsia="標楷體" w:hAnsi="Times New Roman" w:cs="Times New Roman" w:hint="eastAsia"/>
                <w:color w:val="000000"/>
              </w:rPr>
              <w:t>修訂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口服</w:t>
            </w:r>
            <w:r w:rsidRPr="0093613E">
              <w:rPr>
                <w:rFonts w:ascii="Times New Roman" w:eastAsia="標楷體" w:hAnsi="Times New Roman" w:cs="Times New Roman" w:hint="eastAsia"/>
                <w:color w:val="000000"/>
              </w:rPr>
              <w:t>和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針劑</w:t>
            </w:r>
            <w:proofErr w:type="gramStart"/>
            <w:r w:rsidRPr="0093613E">
              <w:rPr>
                <w:rFonts w:ascii="Times New Roman" w:eastAsia="標楷體" w:hAnsi="Times New Roman" w:cs="Times New Roman" w:hint="eastAsia"/>
                <w:color w:val="000000"/>
              </w:rPr>
              <w:t>劑</w:t>
            </w:r>
            <w:proofErr w:type="gramEnd"/>
            <w:r w:rsidRPr="0093613E">
              <w:rPr>
                <w:rFonts w:ascii="Times New Roman" w:eastAsia="標楷體" w:hAnsi="Times New Roman" w:cs="Times New Roman" w:hint="eastAsia"/>
                <w:color w:val="000000"/>
              </w:rPr>
              <w:t>型藥品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核准適應症，</w:t>
            </w:r>
            <w:r w:rsidRPr="0093613E">
              <w:rPr>
                <w:rFonts w:ascii="Times New Roman" w:eastAsia="標楷體" w:hAnsi="Times New Roman" w:cs="Times New Roman" w:hint="eastAsia"/>
                <w:color w:val="000000"/>
              </w:rPr>
              <w:t>主要包括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上下呼吸道感染</w:t>
            </w:r>
            <w:r w:rsidRPr="0093613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r w:rsidRPr="0093613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如急性細菌性鼻竇炎、急性鏈球菌扁桃腺炎及咽炎、慢性支氣管炎急性發作及社區型肺炎</w:t>
            </w:r>
            <w:r w:rsidRPr="0093613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、性傳染病</w:t>
            </w:r>
            <w:r w:rsidRPr="0093613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r w:rsidRPr="0093613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如</w:t>
            </w:r>
            <w:r w:rsidRPr="0093613E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Chlamydia trachomatis</w:t>
            </w:r>
            <w:r w:rsidRPr="0093613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或</w:t>
            </w:r>
            <w:r w:rsidRPr="0093613E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lastRenderedPageBreak/>
              <w:t>Neisseria gonorrhoeae</w:t>
            </w:r>
            <w:r w:rsidRPr="0093613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引發之尿道炎與子宮頸炎</w:t>
            </w:r>
            <w:r w:rsidRPr="0093613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、女性生殖系統感染</w:t>
            </w:r>
            <w:r w:rsidRPr="0093613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gramStart"/>
            <w:r w:rsidRPr="0093613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如骨盆腔</w:t>
            </w:r>
            <w:proofErr w:type="gramEnd"/>
            <w:r w:rsidRPr="0093613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發炎</w:t>
            </w:r>
            <w:r w:rsidRPr="0093613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、牙齒感染</w:t>
            </w:r>
            <w:r w:rsidRPr="0093613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gramStart"/>
            <w:r w:rsidRPr="0093613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如牙周</w:t>
            </w:r>
            <w:proofErr w:type="gramEnd"/>
            <w:r w:rsidRPr="0093613E"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膿腫、牙周炎</w:t>
            </w:r>
            <w:r w:rsidRPr="0093613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、治療及預防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HIV-1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感染者的</w:t>
            </w:r>
            <w:r w:rsidRPr="0093613E">
              <w:rPr>
                <w:rFonts w:ascii="Times New Roman" w:eastAsia="標楷體" w:hAnsi="Times New Roman" w:cs="Times New Roman"/>
                <w:i/>
                <w:iCs/>
                <w:color w:val="000000"/>
              </w:rPr>
              <w:t>Mycobacterium avium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複雜性感染等</w:t>
            </w:r>
            <w:r w:rsidRPr="0093613E">
              <w:rPr>
                <w:rFonts w:ascii="Times New Roman" w:eastAsia="標楷體" w:hAnsi="Times New Roman" w:cs="Times New Roman" w:hint="eastAsia"/>
                <w:color w:val="000000"/>
              </w:rPr>
              <w:t>。這些修訂旨在使核准之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適應症與最新數據</w:t>
            </w:r>
            <w:r w:rsidRPr="0093613E">
              <w:rPr>
                <w:rFonts w:ascii="Times New Roman" w:eastAsia="標楷體" w:hAnsi="Times New Roman" w:cs="Times New Roman" w:hint="eastAsia"/>
                <w:color w:val="000000"/>
              </w:rPr>
              <w:t>保持一致且表達</w:t>
            </w:r>
            <w:r w:rsidRPr="0093613E">
              <w:rPr>
                <w:rFonts w:ascii="Times New Roman" w:eastAsia="標楷體" w:hAnsi="Times New Roman" w:cs="Times New Roman"/>
                <w:color w:val="000000"/>
              </w:rPr>
              <w:t>更精確</w:t>
            </w:r>
            <w:r w:rsidRPr="0093613E">
              <w:rPr>
                <w:rFonts w:ascii="Times New Roman" w:eastAsia="標楷體" w:hAnsi="Times New Roman" w:cs="Times New Roman" w:hint="eastAsia"/>
                <w:color w:val="000000"/>
              </w:rPr>
              <w:t>。</w:t>
            </w:r>
          </w:p>
          <w:p w14:paraId="4D618D97" w14:textId="075389D9" w:rsidR="0093613E" w:rsidRPr="00C20393" w:rsidRDefault="0093613E" w:rsidP="0093613E">
            <w:pPr>
              <w:pStyle w:val="Web"/>
              <w:numPr>
                <w:ilvl w:val="0"/>
                <w:numId w:val="55"/>
              </w:numPr>
              <w:spacing w:before="0" w:beforeAutospacing="0" w:after="0" w:afterAutospacing="0" w:line="400" w:lineRule="exact"/>
              <w:ind w:left="522" w:hanging="284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93613E">
              <w:rPr>
                <w:rFonts w:ascii="Times New Roman" w:eastAsia="標楷體" w:hAnsi="Times New Roman" w:hint="eastAsia"/>
                <w:color w:val="000000"/>
              </w:rPr>
              <w:t>在</w:t>
            </w:r>
            <w:r w:rsidRPr="0093613E">
              <w:rPr>
                <w:rFonts w:ascii="Times New Roman" w:eastAsia="標楷體" w:hAnsi="Times New Roman"/>
                <w:color w:val="000000"/>
              </w:rPr>
              <w:t>仿單</w:t>
            </w:r>
            <w:proofErr w:type="gramStart"/>
            <w:r w:rsidRPr="0093613E">
              <w:rPr>
                <w:rFonts w:ascii="Times New Roman" w:eastAsia="標楷體" w:hAnsi="Times New Roman"/>
                <w:color w:val="000000"/>
              </w:rPr>
              <w:t>加刊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新</w:t>
            </w:r>
            <w:proofErr w:type="gramEnd"/>
            <w:r w:rsidRPr="0093613E">
              <w:rPr>
                <w:rFonts w:ascii="Times New Roman" w:eastAsia="標楷體" w:hAnsi="Times New Roman" w:hint="eastAsia"/>
                <w:color w:val="000000"/>
              </w:rPr>
              <w:t>的</w:t>
            </w:r>
            <w:r w:rsidRPr="0093613E">
              <w:rPr>
                <w:rFonts w:ascii="Times New Roman" w:eastAsia="標楷體" w:hAnsi="Times New Roman"/>
                <w:color w:val="000000"/>
              </w:rPr>
              <w:t>警語強調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及</w:t>
            </w:r>
            <w:r w:rsidRPr="0093613E">
              <w:rPr>
                <w:rFonts w:ascii="Times New Roman" w:eastAsia="標楷體" w:hAnsi="Times New Roman"/>
                <w:color w:val="000000"/>
              </w:rPr>
              <w:t>說明抗藥性風險，並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敘述</w:t>
            </w:r>
            <w:r w:rsidRPr="0093613E">
              <w:rPr>
                <w:rFonts w:ascii="Times New Roman" w:eastAsia="標楷體" w:hAnsi="Times New Roman"/>
                <w:color w:val="000000"/>
              </w:rPr>
              <w:t>azithromycin</w:t>
            </w:r>
            <w:r w:rsidRPr="0093613E">
              <w:rPr>
                <w:rFonts w:ascii="Times New Roman" w:eastAsia="標楷體" w:hAnsi="Times New Roman"/>
                <w:color w:val="000000"/>
              </w:rPr>
              <w:t>僅應在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謹慎</w:t>
            </w:r>
            <w:r w:rsidRPr="0093613E">
              <w:rPr>
                <w:rFonts w:ascii="Times New Roman" w:eastAsia="標楷體" w:hAnsi="Times New Roman"/>
                <w:color w:val="000000"/>
              </w:rPr>
              <w:t>評估臨床效益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與</w:t>
            </w:r>
            <w:r w:rsidRPr="0093613E">
              <w:rPr>
                <w:rFonts w:ascii="Times New Roman" w:eastAsia="標楷體" w:hAnsi="Times New Roman"/>
                <w:color w:val="000000"/>
              </w:rPr>
              <w:t>風險、考量當地抗藥性的盛行情形，並在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其他優先療法不適用時</w:t>
            </w:r>
            <w:r w:rsidRPr="0093613E">
              <w:rPr>
                <w:rFonts w:ascii="Times New Roman" w:eastAsia="標楷體" w:hAnsi="Times New Roman"/>
                <w:color w:val="000000"/>
              </w:rPr>
              <w:t>才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可</w:t>
            </w:r>
            <w:r w:rsidRPr="0093613E">
              <w:rPr>
                <w:rFonts w:ascii="Times New Roman" w:eastAsia="標楷體" w:hAnsi="Times New Roman"/>
                <w:color w:val="000000"/>
              </w:rPr>
              <w:t>使用</w:t>
            </w:r>
            <w:r w:rsidRPr="0093613E">
              <w:rPr>
                <w:rFonts w:ascii="Times New Roman" w:eastAsia="標楷體" w:hAnsi="Times New Roman"/>
                <w:color w:val="000000" w:themeColor="text1"/>
              </w:rPr>
              <w:t>。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同時</w:t>
            </w:r>
            <w:r w:rsidRPr="0093613E">
              <w:rPr>
                <w:rFonts w:ascii="Times New Roman" w:eastAsia="標楷體" w:hAnsi="Times New Roman" w:hint="eastAsia"/>
                <w:color w:val="000000" w:themeColor="text1"/>
              </w:rPr>
              <w:t>建議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統一歐盟</w:t>
            </w:r>
            <w:r w:rsidRPr="0093613E">
              <w:rPr>
                <w:rFonts w:ascii="Times New Roman" w:eastAsia="標楷體" w:hAnsi="Times New Roman"/>
                <w:color w:val="000000"/>
              </w:rPr>
              <w:t>產品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仿單中各段落之資訊，包含</w:t>
            </w:r>
            <w:r w:rsidRPr="0093613E">
              <w:rPr>
                <w:rFonts w:ascii="Times New Roman" w:eastAsia="標楷體" w:hAnsi="Times New Roman"/>
                <w:color w:val="000000"/>
              </w:rPr>
              <w:t>劑量建議、禁忌症、藥品交互作用、</w:t>
            </w:r>
            <w:r w:rsidRPr="0093613E">
              <w:rPr>
                <w:rFonts w:ascii="Times New Roman" w:eastAsia="標楷體" w:hAnsi="Times New Roman" w:hint="eastAsia"/>
                <w:color w:val="000000"/>
              </w:rPr>
              <w:t>懷孕</w:t>
            </w:r>
            <w:r w:rsidRPr="0093613E">
              <w:rPr>
                <w:rFonts w:ascii="Times New Roman" w:eastAsia="標楷體" w:hAnsi="Times New Roman"/>
                <w:color w:val="000000"/>
              </w:rPr>
              <w:t>使用、副作用及臨床研究相關數據等。</w:t>
            </w:r>
          </w:p>
        </w:tc>
      </w:tr>
      <w:tr w:rsidR="0093613E" w:rsidRPr="00DD108A" w14:paraId="30178CF2" w14:textId="77777777" w:rsidTr="004B621E">
        <w:trPr>
          <w:trHeight w:val="9346"/>
          <w:jc w:val="center"/>
        </w:trPr>
        <w:tc>
          <w:tcPr>
            <w:tcW w:w="1985" w:type="dxa"/>
            <w:vAlign w:val="center"/>
          </w:tcPr>
          <w:p w14:paraId="09304CE6" w14:textId="77777777" w:rsidR="0093613E" w:rsidRPr="00174740" w:rsidRDefault="0093613E" w:rsidP="0093613E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174740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1D571B3D" w14:textId="1D02C2C3" w:rsidR="0093613E" w:rsidRPr="00DD108A" w:rsidRDefault="0093613E" w:rsidP="0093613E">
            <w:pPr>
              <w:jc w:val="center"/>
              <w:rPr>
                <w:rFonts w:ascii="Times New Roman" w:eastAsia="標楷體" w:hAnsi="Times New Roman"/>
              </w:rPr>
            </w:pPr>
            <w:r w:rsidRPr="00174740"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744" w:type="dxa"/>
            <w:tcBorders>
              <w:bottom w:val="single" w:sz="4" w:space="0" w:color="auto"/>
            </w:tcBorders>
          </w:tcPr>
          <w:p w14:paraId="1A340BB4" w14:textId="77777777" w:rsidR="0093613E" w:rsidRPr="00004671" w:rsidRDefault="0093613E" w:rsidP="00004671">
            <w:pPr>
              <w:pStyle w:val="a9"/>
              <w:widowControl/>
              <w:numPr>
                <w:ilvl w:val="1"/>
                <w:numId w:val="53"/>
              </w:numPr>
              <w:spacing w:line="400" w:lineRule="exact"/>
              <w:ind w:leftChars="0" w:left="284" w:hanging="284"/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004671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</w:rPr>
              <w:t>食品藥物管理署說明：</w:t>
            </w:r>
          </w:p>
          <w:p w14:paraId="5404589A" w14:textId="7A0B6BF1" w:rsidR="001567EC" w:rsidRPr="001567EC" w:rsidRDefault="0093613E" w:rsidP="0093613E">
            <w:pPr>
              <w:pStyle w:val="a9"/>
              <w:widowControl/>
              <w:numPr>
                <w:ilvl w:val="0"/>
                <w:numId w:val="54"/>
              </w:numPr>
              <w:shd w:val="clear" w:color="auto" w:fill="FFFFFF"/>
              <w:ind w:leftChars="1" w:left="319" w:hangingChars="132" w:hanging="317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我國核准</w:t>
            </w:r>
            <w:r w:rsidRPr="001567EC">
              <w:rPr>
                <w:rFonts w:ascii="Times New Roman" w:eastAsia="標楷體" w:hAnsi="Times New Roman" w:hint="eastAsia"/>
                <w:szCs w:val="24"/>
              </w:rPr>
              <w:t>含</w:t>
            </w:r>
            <w:r w:rsidRPr="001567EC">
              <w:rPr>
                <w:rFonts w:ascii="Times New Roman" w:eastAsia="標楷體" w:hAnsi="Times New Roman"/>
                <w:szCs w:val="24"/>
              </w:rPr>
              <w:t>azithromycin</w:t>
            </w:r>
            <w:r w:rsidRPr="001567EC">
              <w:rPr>
                <w:rFonts w:ascii="Times New Roman" w:eastAsia="標楷體" w:hAnsi="Times New Roman" w:hint="eastAsia"/>
                <w:szCs w:val="24"/>
              </w:rPr>
              <w:t>成分藥品</w:t>
            </w:r>
            <w:r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許可證共</w:t>
            </w:r>
            <w:r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9</w:t>
            </w:r>
            <w:r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</w:t>
            </w:r>
            <w:r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1567EC">
              <w:rPr>
                <w:rFonts w:ascii="Times New Roman" w:eastAsia="標楷體" w:hAnsi="Times New Roman" w:hint="eastAsia"/>
                <w:szCs w:val="24"/>
              </w:rPr>
              <w:t>皆為口服劑型</w:t>
            </w:r>
            <w:r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bookmarkStart w:id="0" w:name="_Hlk174016269"/>
            <w:r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核准適應症為「革蘭氏陽性、陰性及</w:t>
            </w:r>
            <w:proofErr w:type="gramStart"/>
            <w:r w:rsidR="001567EC" w:rsidRPr="001567EC">
              <w:rPr>
                <w:rFonts w:ascii="標楷體" w:eastAsia="標楷體" w:hAnsi="標楷體" w:hint="eastAsia"/>
                <w:szCs w:val="24"/>
              </w:rPr>
              <w:t>厭氧菌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引起之下呼吸道感染</w:t>
            </w:r>
            <w:r w:rsidR="001567EC" w:rsidRPr="001567EC">
              <w:rPr>
                <w:rFonts w:ascii="Times New Roman" w:hAnsi="Times New Roman"/>
                <w:szCs w:val="24"/>
              </w:rPr>
              <w:t>(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包括支氣管炎及肺炎</w:t>
            </w:r>
            <w:r w:rsidR="001567EC" w:rsidRPr="001567EC">
              <w:rPr>
                <w:rFonts w:ascii="Times New Roman" w:hAnsi="Times New Roman"/>
                <w:szCs w:val="24"/>
              </w:rPr>
              <w:t>)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、皮膚及軟組織感染、中耳炎、上呼吸道感染和性傳染病」，</w:t>
            </w:r>
            <w:r w:rsidR="00DF1BB1" w:rsidRPr="00670768">
              <w:rPr>
                <w:rFonts w:ascii="標楷體" w:eastAsia="標楷體" w:hAnsi="標楷體" w:hint="eastAsia"/>
                <w:color w:val="000000"/>
                <w:szCs w:val="24"/>
              </w:rPr>
              <w:t>未包含本次</w:t>
            </w:r>
            <w:r w:rsidR="00DF1BB1" w:rsidRPr="00670768">
              <w:rPr>
                <w:rFonts w:ascii="Times New Roman" w:eastAsia="標楷體" w:hAnsi="Times New Roman"/>
                <w:color w:val="000000"/>
                <w:szCs w:val="24"/>
              </w:rPr>
              <w:t>EMA</w:t>
            </w:r>
            <w:r w:rsidR="00DF1BB1" w:rsidRPr="00670768">
              <w:rPr>
                <w:rFonts w:ascii="標楷體" w:eastAsia="標楷體" w:hAnsi="標楷體" w:hint="eastAsia"/>
                <w:color w:val="000000"/>
                <w:szCs w:val="24"/>
              </w:rPr>
              <w:t>發布之部分</w:t>
            </w:r>
            <w:r w:rsidR="001567EC" w:rsidRPr="00670768">
              <w:rPr>
                <w:rFonts w:ascii="標楷體" w:eastAsia="標楷體" w:hAnsi="標楷體" w:hint="eastAsia"/>
                <w:color w:val="000000"/>
                <w:szCs w:val="24"/>
              </w:rPr>
              <w:t>適應症</w:t>
            </w:r>
            <w:r w:rsidR="00DF1BB1" w:rsidRPr="00670768">
              <w:rPr>
                <w:rFonts w:ascii="標楷體" w:eastAsia="標楷體" w:hAnsi="標楷體" w:hint="eastAsia"/>
                <w:color w:val="000000"/>
                <w:szCs w:val="24"/>
              </w:rPr>
              <w:t>變更內容</w:t>
            </w:r>
            <w:r w:rsidR="001567EC" w:rsidRPr="001567EC">
              <w:rPr>
                <w:rFonts w:ascii="標楷體" w:eastAsia="標楷體" w:hAnsi="標楷體" w:hint="eastAsia"/>
                <w:color w:val="000000"/>
                <w:szCs w:val="24"/>
              </w:rPr>
              <w:t>。</w:t>
            </w:r>
            <w:bookmarkStart w:id="1" w:name="_Hlk174008425"/>
            <w:bookmarkEnd w:id="0"/>
          </w:p>
          <w:p w14:paraId="5B32293E" w14:textId="7B1F1D75" w:rsidR="0093613E" w:rsidRDefault="0093613E" w:rsidP="0093613E">
            <w:pPr>
              <w:pStyle w:val="a9"/>
              <w:widowControl/>
              <w:numPr>
                <w:ilvl w:val="0"/>
                <w:numId w:val="54"/>
              </w:numPr>
              <w:shd w:val="clear" w:color="auto" w:fill="FFFFFF"/>
              <w:ind w:leftChars="1" w:left="319" w:hangingChars="132" w:hanging="317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其中文仿單已於</w:t>
            </w:r>
            <w:r w:rsidR="001567EC" w:rsidRPr="001567E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</w:t>
            </w:r>
            <w:r w:rsidR="001567EC" w:rsidRPr="001567EC">
              <w:rPr>
                <w:rFonts w:ascii="標楷體" w:eastAsia="標楷體" w:hAnsi="標楷體" w:hint="eastAsia"/>
                <w:color w:val="000000"/>
                <w:szCs w:val="24"/>
              </w:rPr>
              <w:t>藥效藥理特性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」處刊載「微生物學：</w:t>
            </w:r>
            <w:r w:rsidR="001567EC" w:rsidRPr="001567EC">
              <w:rPr>
                <w:rFonts w:ascii="Times New Roman" w:hAnsi="Times New Roman"/>
                <w:szCs w:val="24"/>
              </w:rPr>
              <w:t>azithromycin</w:t>
            </w:r>
            <w:r w:rsidR="001567EC">
              <w:rPr>
                <w:rFonts w:ascii="標楷體" w:eastAsia="標楷體" w:hAnsi="標楷體" w:hint="eastAsia"/>
                <w:szCs w:val="24"/>
              </w:rPr>
              <w:t>在人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體內對於下列細菌具有抗菌活性：革蘭氏陽性</w:t>
            </w:r>
            <w:proofErr w:type="gramStart"/>
            <w:r w:rsidR="001567EC" w:rsidRPr="001567EC">
              <w:rPr>
                <w:rFonts w:ascii="標楷體" w:eastAsia="標楷體" w:hAnsi="標楷體" w:hint="eastAsia"/>
                <w:szCs w:val="24"/>
              </w:rPr>
              <w:t>嗜氧菌</w:t>
            </w:r>
            <w:r w:rsidR="001567EC" w:rsidRPr="001567EC">
              <w:rPr>
                <w:rFonts w:ascii="Times New Roman" w:hAnsi="Times New Roman"/>
                <w:szCs w:val="24"/>
              </w:rPr>
              <w:t>(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金黃色葡萄球菌、化膿性葡萄球菌</w:t>
            </w:r>
            <w:r w:rsidR="001567EC" w:rsidRPr="001567EC">
              <w:rPr>
                <w:rFonts w:ascii="Times New Roman" w:hAnsi="Times New Roman"/>
                <w:szCs w:val="24"/>
              </w:rPr>
              <w:t>(A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群乙型溶血性鏈球菌</w:t>
            </w:r>
            <w:r w:rsidR="001567EC" w:rsidRPr="001567EC">
              <w:rPr>
                <w:rFonts w:ascii="Times New Roman" w:hAnsi="Times New Roman"/>
                <w:szCs w:val="24"/>
              </w:rPr>
              <w:t>)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、肺炎球菌、甲型溶血性鏈球菌</w:t>
            </w:r>
            <w:r w:rsidR="001567EC" w:rsidRPr="001567EC">
              <w:rPr>
                <w:rFonts w:ascii="Times New Roman" w:hAnsi="Times New Roman"/>
                <w:szCs w:val="24"/>
              </w:rPr>
              <w:t>(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草綠色鏈球菌以及他種鏈球菌</w:t>
            </w:r>
            <w:r w:rsidR="001567EC" w:rsidRPr="001567EC">
              <w:rPr>
                <w:rFonts w:ascii="Times New Roman" w:hAnsi="Times New Roman"/>
                <w:szCs w:val="24"/>
              </w:rPr>
              <w:t>)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、革蘭氏陰性</w:t>
            </w:r>
            <w:proofErr w:type="gramStart"/>
            <w:r w:rsidR="001567EC" w:rsidRPr="001567EC">
              <w:rPr>
                <w:rFonts w:ascii="標楷體" w:eastAsia="標楷體" w:hAnsi="標楷體" w:hint="eastAsia"/>
                <w:szCs w:val="24"/>
              </w:rPr>
              <w:t>嗜氧菌</w:t>
            </w:r>
            <w:r w:rsidR="001567EC" w:rsidRPr="001567EC">
              <w:rPr>
                <w:rFonts w:ascii="Times New Roman" w:hAnsi="Times New Roman"/>
                <w:szCs w:val="24"/>
              </w:rPr>
              <w:t>(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流行性感冒嗜血桿菌、副流行性感冒嗜血桿菌、</w:t>
            </w:r>
            <w:proofErr w:type="gramStart"/>
            <w:r w:rsidR="001567EC" w:rsidRPr="001567EC">
              <w:rPr>
                <w:rFonts w:ascii="標楷體" w:eastAsia="標楷體" w:hAnsi="標楷體" w:hint="eastAsia"/>
                <w:szCs w:val="24"/>
              </w:rPr>
              <w:t>黏膜炎莫拉氏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菌、其他病原菌</w:t>
            </w:r>
            <w:r w:rsidR="001567EC" w:rsidRPr="001567EC">
              <w:rPr>
                <w:rFonts w:ascii="Times New Roman" w:hAnsi="Times New Roman"/>
                <w:szCs w:val="24"/>
              </w:rPr>
              <w:t>(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砂眼披衣菌、肺炎披衣菌、肺炎</w:t>
            </w:r>
            <w:proofErr w:type="gramStart"/>
            <w:r w:rsidR="001567EC" w:rsidRPr="001567EC">
              <w:rPr>
                <w:rFonts w:ascii="標楷體" w:eastAsia="標楷體" w:hAnsi="標楷體" w:hint="eastAsia"/>
                <w:szCs w:val="24"/>
              </w:rPr>
              <w:t>黴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漿菌</w:t>
            </w:r>
            <w:r w:rsidR="001567EC" w:rsidRPr="001567EC">
              <w:rPr>
                <w:rFonts w:ascii="Times New Roman" w:hAnsi="Times New Roman"/>
                <w:szCs w:val="24"/>
              </w:rPr>
              <w:t>)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及與人類免疫缺陷病毒</w:t>
            </w:r>
            <w:r w:rsidR="001567EC" w:rsidRPr="001567EC">
              <w:rPr>
                <w:rFonts w:ascii="Times New Roman" w:hAnsi="Times New Roman"/>
                <w:szCs w:val="24"/>
              </w:rPr>
              <w:t>(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愛滋病毒</w:t>
            </w:r>
            <w:r w:rsidR="001567EC" w:rsidRPr="001567EC">
              <w:rPr>
                <w:rFonts w:ascii="Times New Roman" w:hAnsi="Times New Roman"/>
                <w:szCs w:val="24"/>
              </w:rPr>
              <w:t>)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感染有關的伺機性致病菌</w:t>
            </w:r>
            <w:proofErr w:type="gramStart"/>
            <w:r w:rsidR="001567EC" w:rsidRPr="001567EC">
              <w:rPr>
                <w:rFonts w:ascii="Times New Roman" w:hAnsi="Times New Roman"/>
                <w:szCs w:val="24"/>
              </w:rPr>
              <w:t>—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結核分枝桿菌複合體</w:t>
            </w:r>
            <w:r w:rsidR="001567EC" w:rsidRPr="001567EC">
              <w:rPr>
                <w:rFonts w:ascii="Times New Roman" w:hAnsi="Times New Roman"/>
                <w:szCs w:val="24"/>
              </w:rPr>
              <w:t>(MAC)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」、「在澳洲，肺炎球菌及金黃色葡萄球菌</w:t>
            </w:r>
            <w:proofErr w:type="gramStart"/>
            <w:r w:rsidR="001567EC" w:rsidRPr="001567EC">
              <w:rPr>
                <w:rFonts w:ascii="標楷體" w:eastAsia="標楷體" w:hAnsi="標楷體" w:hint="eastAsia"/>
                <w:szCs w:val="24"/>
              </w:rPr>
              <w:t>對巨環類</w:t>
            </w:r>
            <w:proofErr w:type="gramEnd"/>
            <w:r w:rsidR="001567EC" w:rsidRPr="001567EC">
              <w:rPr>
                <w:rFonts w:ascii="Times New Roman" w:hAnsi="Times New Roman"/>
                <w:szCs w:val="24"/>
              </w:rPr>
              <w:t>(macrolide)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抗生素產生抗藥性的情形，自</w:t>
            </w:r>
            <w:proofErr w:type="gramStart"/>
            <w:r w:rsidR="001567EC" w:rsidRPr="001567EC">
              <w:rPr>
                <w:rFonts w:ascii="Times New Roman" w:hAnsi="Times New Roman"/>
                <w:szCs w:val="24"/>
              </w:rPr>
              <w:t>1990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年代後期起便不斷增加。抗藥性之通報比例經常達到</w:t>
            </w:r>
            <w:r w:rsidR="001567EC" w:rsidRPr="001567EC">
              <w:rPr>
                <w:rFonts w:ascii="Times New Roman" w:hAnsi="Times New Roman"/>
                <w:szCs w:val="24"/>
              </w:rPr>
              <w:t>15%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或更高。</w:t>
            </w:r>
            <w:proofErr w:type="gramStart"/>
            <w:r w:rsidR="001567EC" w:rsidRPr="001567EC">
              <w:rPr>
                <w:rFonts w:ascii="標楷體" w:eastAsia="標楷體" w:hAnsi="標楷體" w:hint="eastAsia"/>
                <w:szCs w:val="24"/>
              </w:rPr>
              <w:t>巨環類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藥物的使用，應以敏感性試驗的培養結果與臨床操作準則為依據」、「藥物敏感性試驗：當報告顯示呈「抗藥性」時，表示當對</w:t>
            </w:r>
            <w:proofErr w:type="gramStart"/>
            <w:r w:rsidR="001567EC" w:rsidRPr="001567EC">
              <w:rPr>
                <w:rFonts w:ascii="標楷體" w:eastAsia="標楷體" w:hAnsi="標楷體" w:hint="eastAsia"/>
                <w:szCs w:val="24"/>
              </w:rPr>
              <w:t>病人投予建議</w:t>
            </w:r>
            <w:proofErr w:type="gramEnd"/>
            <w:r w:rsidR="001567EC" w:rsidRPr="001567EC">
              <w:rPr>
                <w:rFonts w:ascii="標楷體" w:eastAsia="標楷體" w:hAnsi="標楷體" w:hint="eastAsia"/>
                <w:szCs w:val="24"/>
              </w:rPr>
              <w:t>劑量時，該種病原菌不太可能受到抑制。此時須選擇其他療法」等</w:t>
            </w:r>
            <w:r w:rsidR="001567EC">
              <w:rPr>
                <w:rFonts w:ascii="標楷體" w:eastAsia="標楷體" w:hAnsi="標楷體" w:hint="eastAsia"/>
                <w:szCs w:val="24"/>
              </w:rPr>
              <w:t>與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抗生素抗藥性相關</w:t>
            </w:r>
            <w:r w:rsidR="004B621E">
              <w:rPr>
                <w:rFonts w:ascii="標楷體" w:eastAsia="標楷體" w:hAnsi="標楷體" w:hint="eastAsia"/>
                <w:szCs w:val="24"/>
              </w:rPr>
              <w:t>之</w:t>
            </w:r>
            <w:r w:rsidR="001567EC" w:rsidRPr="001567EC">
              <w:rPr>
                <w:rFonts w:ascii="標楷體" w:eastAsia="標楷體" w:hAnsi="標楷體" w:hint="eastAsia"/>
                <w:szCs w:val="24"/>
              </w:rPr>
              <w:t>安全性資訊</w:t>
            </w:r>
            <w:r w:rsidR="001567EC">
              <w:rPr>
                <w:rFonts w:ascii="標楷體" w:eastAsia="標楷體" w:hAnsi="標楷體" w:hint="eastAsia"/>
                <w:szCs w:val="24"/>
              </w:rPr>
              <w:t>，</w:t>
            </w:r>
            <w:r w:rsidR="004B621E" w:rsidRPr="00AD67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惟未於「警語」處刊載</w:t>
            </w:r>
            <w:r w:rsidR="004B621E" w:rsidRPr="00AD67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azithromycin</w:t>
            </w:r>
            <w:r w:rsidR="004B621E" w:rsidRPr="00AD67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之抗藥性風險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bookmarkEnd w:id="1"/>
          </w:p>
          <w:p w14:paraId="7E78DDBA" w14:textId="559BF5D1" w:rsidR="0093613E" w:rsidRPr="0093613E" w:rsidRDefault="0093613E" w:rsidP="0093613E">
            <w:pPr>
              <w:pStyle w:val="a9"/>
              <w:widowControl/>
              <w:numPr>
                <w:ilvl w:val="0"/>
                <w:numId w:val="54"/>
              </w:numPr>
              <w:shd w:val="clear" w:color="auto" w:fill="FFFFFF"/>
              <w:ind w:leftChars="1" w:left="319" w:hangingChars="132" w:hanging="317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93613E">
              <w:rPr>
                <w:rFonts w:ascii="Times New Roman" w:eastAsia="標楷體" w:hAnsi="Times New Roman" w:hint="eastAsia"/>
                <w:color w:val="000000" w:themeColor="text1"/>
              </w:rPr>
              <w:t>本署現</w:t>
            </w:r>
            <w:proofErr w:type="gramEnd"/>
            <w:r w:rsidRPr="0093613E">
              <w:rPr>
                <w:rFonts w:ascii="Times New Roman" w:eastAsia="標楷體" w:hAnsi="Times New Roman" w:hint="eastAsia"/>
                <w:color w:val="000000" w:themeColor="text1"/>
              </w:rPr>
              <w:t>正評估是否針對該類藥品採取進一步風險管控措施。</w:t>
            </w:r>
          </w:p>
          <w:p w14:paraId="5DBD13AC" w14:textId="77777777" w:rsidR="0093613E" w:rsidRPr="005D55BA" w:rsidRDefault="0093613E" w:rsidP="0093613E">
            <w:pPr>
              <w:pStyle w:val="Web"/>
              <w:spacing w:before="0" w:beforeAutospacing="0" w:after="0" w:afterAutospacing="0" w:line="400" w:lineRule="exact"/>
              <w:ind w:leftChars="100" w:left="240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</w:p>
          <w:p w14:paraId="7DDF1AC2" w14:textId="77777777" w:rsidR="0093613E" w:rsidRPr="00DD108A" w:rsidRDefault="0093613E" w:rsidP="00004671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ind w:left="273" w:hanging="284"/>
              <w:rPr>
                <w:rFonts w:ascii="Times New Roman" w:eastAsia="標楷體" w:hAnsi="Times New Roman" w:cs="Times New Roman"/>
                <w:color w:val="000000"/>
              </w:rPr>
            </w:pPr>
            <w:r w:rsidRPr="00972025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972025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應注意事項</w:t>
            </w:r>
            <w:r w:rsidRPr="00DD108A">
              <w:rPr>
                <w:rFonts w:ascii="Times New Roman" w:eastAsia="標楷體" w:hAnsi="Times New Roman" w:cs="Times New Roman"/>
                <w:color w:val="000000"/>
              </w:rPr>
              <w:t>：</w:t>
            </w:r>
          </w:p>
          <w:p w14:paraId="73127DC8" w14:textId="77777777" w:rsidR="0093613E" w:rsidRDefault="0093613E" w:rsidP="0093613E">
            <w:pPr>
              <w:pStyle w:val="Web"/>
              <w:numPr>
                <w:ilvl w:val="1"/>
                <w:numId w:val="1"/>
              </w:numPr>
              <w:tabs>
                <w:tab w:val="clear" w:pos="1440"/>
                <w:tab w:val="num" w:pos="922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hint="eastAsia"/>
                <w:color w:val="000000"/>
              </w:rPr>
              <w:t>A</w:t>
            </w:r>
            <w:r w:rsidRPr="00613B26">
              <w:rPr>
                <w:rFonts w:ascii="Times New Roman" w:eastAsia="標楷體" w:hAnsi="Times New Roman"/>
                <w:color w:val="000000"/>
              </w:rPr>
              <w:t>zithromycin</w:t>
            </w:r>
            <w:r w:rsidRPr="00613B26">
              <w:rPr>
                <w:rFonts w:ascii="Times New Roman" w:eastAsia="標楷體" w:hAnsi="Times New Roman" w:hint="eastAsia"/>
                <w:color w:val="000000"/>
              </w:rPr>
              <w:t>被世界衛生組織</w:t>
            </w:r>
            <w:r>
              <w:rPr>
                <w:rFonts w:ascii="Times New Roman" w:eastAsia="標楷體" w:hAnsi="Times New Roman" w:hint="eastAsia"/>
                <w:color w:val="000000"/>
              </w:rPr>
              <w:t>歸類</w:t>
            </w:r>
            <w:r w:rsidRPr="00613B26">
              <w:rPr>
                <w:rFonts w:ascii="Times New Roman" w:eastAsia="標楷體" w:hAnsi="Times New Roman" w:hint="eastAsia"/>
                <w:color w:val="000000"/>
              </w:rPr>
              <w:t>為具較高抗藥性風險</w:t>
            </w:r>
            <w:r>
              <w:rPr>
                <w:rFonts w:ascii="Times New Roman" w:eastAsia="標楷體" w:hAnsi="Times New Roman" w:hint="eastAsia"/>
                <w:color w:val="000000"/>
              </w:rPr>
              <w:t>之</w:t>
            </w:r>
            <w:r w:rsidRPr="00613B26">
              <w:rPr>
                <w:rFonts w:ascii="Times New Roman" w:eastAsia="標楷體" w:hAnsi="Times New Roman" w:hint="eastAsia"/>
                <w:color w:val="000000"/>
              </w:rPr>
              <w:t>抗生素，</w:t>
            </w:r>
            <w:r w:rsidRPr="00B70968">
              <w:rPr>
                <w:rFonts w:ascii="Times New Roman" w:eastAsia="標楷體" w:hAnsi="Times New Roman" w:hint="eastAsia"/>
              </w:rPr>
              <w:t>應謹慎使用並</w:t>
            </w:r>
            <w:r>
              <w:rPr>
                <w:rFonts w:ascii="Times New Roman" w:eastAsia="標楷體" w:hAnsi="Times New Roman" w:hint="eastAsia"/>
              </w:rPr>
              <w:t>進行</w:t>
            </w:r>
            <w:r w:rsidRPr="00B70968">
              <w:rPr>
                <w:rFonts w:ascii="Times New Roman" w:eastAsia="標楷體" w:hAnsi="Times New Roman" w:hint="eastAsia"/>
              </w:rPr>
              <w:t>監測。</w:t>
            </w:r>
            <w:r>
              <w:rPr>
                <w:rFonts w:ascii="Times New Roman" w:eastAsia="標楷體" w:hAnsi="Times New Roman" w:hint="eastAsia"/>
              </w:rPr>
              <w:t>但</w:t>
            </w:r>
            <w:r w:rsidRPr="00B70968">
              <w:rPr>
                <w:rFonts w:ascii="Times New Roman" w:eastAsia="標楷體" w:hAnsi="Times New Roman" w:hint="eastAsia"/>
              </w:rPr>
              <w:t>數據</w:t>
            </w:r>
            <w:r>
              <w:rPr>
                <w:rFonts w:ascii="Times New Roman" w:eastAsia="標楷體" w:hAnsi="Times New Roman" w:hint="eastAsia"/>
              </w:rPr>
              <w:t>卻</w:t>
            </w:r>
            <w:r w:rsidRPr="00B70968">
              <w:rPr>
                <w:rFonts w:ascii="Times New Roman" w:eastAsia="標楷體" w:hAnsi="Times New Roman" w:hint="eastAsia"/>
              </w:rPr>
              <w:t>顯示</w:t>
            </w:r>
            <w:proofErr w:type="gramStart"/>
            <w:r w:rsidRPr="00B70968">
              <w:rPr>
                <w:rFonts w:ascii="Times New Roman" w:eastAsia="標楷體" w:hAnsi="Times New Roman" w:hint="eastAsia"/>
              </w:rPr>
              <w:t>近幾年來</w:t>
            </w:r>
            <w:proofErr w:type="gramEnd"/>
            <w:r w:rsidRPr="00B70968">
              <w:rPr>
                <w:rFonts w:ascii="Times New Roman" w:eastAsia="標楷體" w:hAnsi="Times New Roman"/>
              </w:rPr>
              <w:t>azithromycin</w:t>
            </w:r>
            <w:r w:rsidRPr="00B70968">
              <w:rPr>
                <w:rFonts w:ascii="Times New Roman" w:eastAsia="標楷體" w:hAnsi="Times New Roman" w:hint="eastAsia"/>
              </w:rPr>
              <w:t>的使用量增加，</w:t>
            </w:r>
            <w:r>
              <w:rPr>
                <w:rFonts w:ascii="Times New Roman" w:eastAsia="標楷體" w:hAnsi="Times New Roman" w:hint="eastAsia"/>
              </w:rPr>
              <w:t>並</w:t>
            </w:r>
            <w:r w:rsidRPr="00B70968">
              <w:rPr>
                <w:rFonts w:ascii="Times New Roman" w:eastAsia="標楷體" w:hAnsi="Times New Roman" w:hint="eastAsia"/>
              </w:rPr>
              <w:t>且</w:t>
            </w:r>
            <w:r>
              <w:rPr>
                <w:rFonts w:ascii="Times New Roman" w:eastAsia="標楷體" w:hAnsi="Times New Roman" w:hint="eastAsia"/>
              </w:rPr>
              <w:t>全球</w:t>
            </w:r>
            <w:r w:rsidRPr="00B70968">
              <w:rPr>
                <w:rFonts w:ascii="Times New Roman" w:eastAsia="標楷體" w:hAnsi="Times New Roman"/>
              </w:rPr>
              <w:t>azithromycin</w:t>
            </w:r>
            <w:r>
              <w:rPr>
                <w:rFonts w:ascii="Times New Roman" w:eastAsia="標楷體" w:hAnsi="Times New Roman" w:hint="eastAsia"/>
              </w:rPr>
              <w:t>的</w:t>
            </w:r>
            <w:r w:rsidRPr="00B70968">
              <w:rPr>
                <w:rFonts w:ascii="Times New Roman" w:eastAsia="標楷體" w:hAnsi="Times New Roman" w:hint="eastAsia"/>
              </w:rPr>
              <w:t>抗藥性</w:t>
            </w:r>
            <w:r>
              <w:rPr>
                <w:rFonts w:ascii="Times New Roman" w:eastAsia="標楷體" w:hAnsi="Times New Roman" w:hint="eastAsia"/>
              </w:rPr>
              <w:t>情形呈現</w:t>
            </w:r>
            <w:r w:rsidRPr="00B70968">
              <w:rPr>
                <w:rFonts w:ascii="Times New Roman" w:eastAsia="標楷體" w:hAnsi="Times New Roman" w:hint="eastAsia"/>
              </w:rPr>
              <w:t>增加</w:t>
            </w:r>
            <w:r>
              <w:rPr>
                <w:rFonts w:ascii="Times New Roman" w:eastAsia="標楷體" w:hAnsi="Times New Roman" w:hint="eastAsia"/>
              </w:rPr>
              <w:t>趨勢，其核准適應症相關的病原菌也出現抗藥性</w:t>
            </w:r>
            <w:r w:rsidRPr="00B70968">
              <w:rPr>
                <w:rFonts w:ascii="Times New Roman" w:eastAsia="標楷體" w:hAnsi="Times New Roman" w:hint="eastAsia"/>
              </w:rPr>
              <w:t>。</w:t>
            </w:r>
          </w:p>
          <w:p w14:paraId="277064DC" w14:textId="77777777" w:rsidR="0093613E" w:rsidRDefault="0093613E" w:rsidP="0093613E">
            <w:pPr>
              <w:pStyle w:val="Web"/>
              <w:numPr>
                <w:ilvl w:val="1"/>
                <w:numId w:val="1"/>
              </w:numPr>
              <w:tabs>
                <w:tab w:val="clear" w:pos="1440"/>
                <w:tab w:val="num" w:pos="922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lastRenderedPageBreak/>
              <w:t>抗生素</w:t>
            </w:r>
            <w:r w:rsidRPr="00957420">
              <w:rPr>
                <w:rFonts w:ascii="Times New Roman" w:eastAsia="標楷體" w:hAnsi="Times New Roman" w:cs="Times New Roman" w:hint="eastAsia"/>
                <w:color w:val="000000"/>
              </w:rPr>
              <w:t>的使用應以敏感性試驗的培養結果與臨床操作準則為依據。</w:t>
            </w:r>
            <w:r w:rsidRPr="00C72FF7">
              <w:rPr>
                <w:rFonts w:ascii="Times New Roman" w:eastAsia="標楷體" w:hAnsi="Times New Roman" w:cs="Times New Roman"/>
              </w:rPr>
              <w:t>醫師</w:t>
            </w:r>
            <w:r>
              <w:rPr>
                <w:rFonts w:ascii="Times New Roman" w:eastAsia="標楷體" w:hAnsi="Times New Roman" w:cs="Times New Roman" w:hint="eastAsia"/>
              </w:rPr>
              <w:t>於</w:t>
            </w:r>
            <w:r w:rsidRPr="00C72FF7">
              <w:rPr>
                <w:rFonts w:ascii="Times New Roman" w:eastAsia="標楷體" w:hAnsi="Times New Roman" w:cs="Times New Roman" w:hint="eastAsia"/>
              </w:rPr>
              <w:t>臨床</w:t>
            </w:r>
            <w:r w:rsidRPr="00C72FF7">
              <w:rPr>
                <w:rFonts w:ascii="Times New Roman" w:eastAsia="標楷體" w:hAnsi="Times New Roman" w:cs="Times New Roman"/>
              </w:rPr>
              <w:t>處方</w:t>
            </w:r>
            <w:r w:rsidRPr="00C72FF7">
              <w:rPr>
                <w:rFonts w:ascii="Times New Roman" w:eastAsia="標楷體" w:hAnsi="Times New Roman" w:cs="Times New Roman" w:hint="eastAsia"/>
              </w:rPr>
              <w:t>含</w:t>
            </w:r>
            <w:r w:rsidRPr="00C72FF7">
              <w:rPr>
                <w:rFonts w:ascii="Times New Roman" w:eastAsia="標楷體" w:hAnsi="Times New Roman" w:cs="Times New Roman" w:hint="eastAsia"/>
              </w:rPr>
              <w:t>a</w:t>
            </w:r>
            <w:r w:rsidRPr="00C72FF7">
              <w:rPr>
                <w:rFonts w:ascii="Times New Roman" w:eastAsia="標楷體" w:hAnsi="Times New Roman" w:cs="Times New Roman"/>
              </w:rPr>
              <w:t>zithromycin</w:t>
            </w:r>
            <w:r w:rsidRPr="00C72FF7">
              <w:rPr>
                <w:rFonts w:ascii="Times New Roman" w:eastAsia="標楷體" w:hAnsi="Times New Roman" w:cs="Times New Roman"/>
                <w:bCs/>
              </w:rPr>
              <w:t>成分</w:t>
            </w:r>
            <w:r w:rsidRPr="00C72FF7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藥品</w:t>
            </w:r>
            <w:r w:rsidRPr="00C72FF7">
              <w:rPr>
                <w:rFonts w:ascii="Times New Roman" w:eastAsia="標楷體" w:hAnsi="Times New Roman" w:cs="Times New Roman"/>
              </w:rPr>
              <w:t>前，應謹慎評估病人</w:t>
            </w:r>
            <w:r>
              <w:rPr>
                <w:rFonts w:ascii="Times New Roman" w:eastAsia="標楷體" w:hAnsi="Times New Roman" w:cs="Times New Roman" w:hint="eastAsia"/>
              </w:rPr>
              <w:t>用藥的</w:t>
            </w:r>
            <w:r w:rsidRPr="00C72FF7">
              <w:rPr>
                <w:rFonts w:ascii="Times New Roman" w:eastAsia="標楷體" w:hAnsi="Times New Roman" w:cs="Times New Roman"/>
              </w:rPr>
              <w:t>臨床效益</w:t>
            </w:r>
            <w:r w:rsidRPr="00C72FF7">
              <w:rPr>
                <w:rFonts w:ascii="Times New Roman" w:eastAsia="標楷體" w:hAnsi="Times New Roman" w:cs="Times New Roman" w:hint="eastAsia"/>
              </w:rPr>
              <w:t>及</w:t>
            </w:r>
            <w:r w:rsidRPr="00C72FF7">
              <w:rPr>
                <w:rFonts w:ascii="Times New Roman" w:eastAsia="標楷體" w:hAnsi="Times New Roman" w:cs="Times New Roman"/>
              </w:rPr>
              <w:t>風險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包含抗藥性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  <w:r w:rsidRPr="00C72FF7">
              <w:rPr>
                <w:rFonts w:ascii="Times New Roman" w:eastAsia="標楷體" w:hAnsi="Times New Roman" w:cs="Times New Roman"/>
              </w:rPr>
              <w:t>。</w:t>
            </w:r>
          </w:p>
          <w:p w14:paraId="1DDA017F" w14:textId="57BE82A7" w:rsidR="0093613E" w:rsidRDefault="0093613E" w:rsidP="0093613E">
            <w:pPr>
              <w:pStyle w:val="Web"/>
              <w:numPr>
                <w:ilvl w:val="1"/>
                <w:numId w:val="1"/>
              </w:numPr>
              <w:tabs>
                <w:tab w:val="clear" w:pos="1440"/>
                <w:tab w:val="num" w:pos="922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</w:rPr>
              <w:t>應告知病人使用</w:t>
            </w:r>
            <w:r w:rsidRPr="00C72FF7">
              <w:rPr>
                <w:rFonts w:ascii="Times New Roman" w:eastAsia="標楷體" w:hAnsi="Times New Roman" w:cs="Times New Roman" w:hint="eastAsia"/>
              </w:rPr>
              <w:t>a</w:t>
            </w:r>
            <w:r w:rsidRPr="00C72FF7">
              <w:rPr>
                <w:rFonts w:ascii="Times New Roman" w:eastAsia="標楷體" w:hAnsi="Times New Roman" w:cs="Times New Roman"/>
              </w:rPr>
              <w:t>zithromycin</w:t>
            </w:r>
            <w:r>
              <w:rPr>
                <w:rFonts w:ascii="Times New Roman" w:eastAsia="標楷體" w:hAnsi="Times New Roman" w:cs="Times New Roman" w:hint="eastAsia"/>
              </w:rPr>
              <w:t>可能的抗藥性風險，並提醒病人務必遵循醫囑用藥及完成抗生素療程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。</w:t>
            </w:r>
          </w:p>
          <w:p w14:paraId="42A729DE" w14:textId="77777777" w:rsidR="00004671" w:rsidRPr="00C72FF7" w:rsidRDefault="00004671" w:rsidP="00004671">
            <w:pPr>
              <w:pStyle w:val="Web"/>
              <w:spacing w:before="0" w:beforeAutospacing="0" w:after="0" w:afterAutospacing="0" w:line="400" w:lineRule="exact"/>
              <w:ind w:left="638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</w:p>
          <w:p w14:paraId="4F783A1B" w14:textId="77777777" w:rsidR="0093613E" w:rsidRPr="00DD108A" w:rsidRDefault="0093613E" w:rsidP="00004671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ind w:left="273" w:hanging="284"/>
              <w:rPr>
                <w:rFonts w:ascii="Times New Roman" w:eastAsia="標楷體" w:hAnsi="Times New Roman" w:cs="Times New Roman"/>
              </w:rPr>
            </w:pPr>
            <w:r w:rsidRPr="00972025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972025">
              <w:rPr>
                <w:rFonts w:ascii="Times New Roman" w:eastAsia="標楷體" w:hAnsi="Times New Roman" w:cs="Times New Roman"/>
                <w:b/>
                <w:bCs/>
              </w:rPr>
              <w:t>應注意事項</w:t>
            </w:r>
            <w:r w:rsidRPr="00DD108A">
              <w:rPr>
                <w:rFonts w:ascii="Times New Roman" w:eastAsia="標楷體" w:hAnsi="Times New Roman" w:cs="Times New Roman"/>
              </w:rPr>
              <w:t>：</w:t>
            </w:r>
          </w:p>
          <w:p w14:paraId="5259F6E6" w14:textId="77777777" w:rsidR="0093613E" w:rsidRPr="00D55B7A" w:rsidRDefault="0093613E" w:rsidP="0093613E">
            <w:pPr>
              <w:pStyle w:val="Web"/>
              <w:numPr>
                <w:ilvl w:val="1"/>
                <w:numId w:val="1"/>
              </w:numPr>
              <w:tabs>
                <w:tab w:val="clear" w:pos="1440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</w:rPr>
            </w:pPr>
            <w:r w:rsidRPr="00EE5D6A">
              <w:rPr>
                <w:rFonts w:ascii="Times New Roman" w:eastAsia="標楷體" w:hAnsi="Times New Roman" w:cs="Times New Roman" w:hint="eastAsia"/>
              </w:rPr>
              <w:t>抗生素</w:t>
            </w:r>
            <w:r>
              <w:rPr>
                <w:rFonts w:ascii="Times New Roman" w:eastAsia="標楷體" w:hAnsi="Times New Roman" w:cs="Times New Roman" w:hint="eastAsia"/>
              </w:rPr>
              <w:t>a</w:t>
            </w:r>
            <w:r>
              <w:rPr>
                <w:rFonts w:ascii="Times New Roman" w:eastAsia="標楷體" w:hAnsi="Times New Roman" w:cs="Times New Roman"/>
              </w:rPr>
              <w:t>zithromycin</w:t>
            </w:r>
            <w:r w:rsidRPr="00EE5D6A">
              <w:rPr>
                <w:rFonts w:ascii="Times New Roman" w:eastAsia="標楷體" w:hAnsi="Times New Roman" w:cs="Times New Roman" w:hint="eastAsia"/>
              </w:rPr>
              <w:t>被</w:t>
            </w:r>
            <w:r>
              <w:rPr>
                <w:rFonts w:ascii="Times New Roman" w:eastAsia="標楷體" w:hAnsi="Times New Roman" w:cs="Times New Roman" w:hint="eastAsia"/>
              </w:rPr>
              <w:t>廣泛</w:t>
            </w:r>
            <w:r w:rsidRPr="00EE5D6A">
              <w:rPr>
                <w:rFonts w:ascii="Times New Roman" w:eastAsia="標楷體" w:hAnsi="Times New Roman" w:cs="Times New Roman" w:hint="eastAsia"/>
              </w:rPr>
              <w:t>用於治療兒童和成人的多種感染</w:t>
            </w:r>
            <w:r>
              <w:rPr>
                <w:rFonts w:ascii="Times New Roman" w:eastAsia="標楷體" w:hAnsi="Times New Roman" w:cs="Times New Roman" w:hint="eastAsia"/>
              </w:rPr>
              <w:t>症</w:t>
            </w:r>
            <w:r>
              <w:rPr>
                <w:rFonts w:ascii="標楷體" w:eastAsia="標楷體" w:hAnsi="標楷體" w:cs="Times New Roman" w:hint="eastAsia"/>
              </w:rPr>
              <w:t>。</w:t>
            </w:r>
            <w:r w:rsidRPr="00D55B7A">
              <w:rPr>
                <w:rFonts w:ascii="Times New Roman" w:eastAsia="標楷體" w:hAnsi="Times New Roman" w:cs="Times New Roman" w:hint="eastAsia"/>
              </w:rPr>
              <w:t>然而</w:t>
            </w:r>
            <w:r w:rsidRPr="00D55B7A">
              <w:rPr>
                <w:rFonts w:ascii="標楷體" w:eastAsia="標楷體" w:hAnsi="標楷體" w:cs="Times New Roman" w:hint="eastAsia"/>
              </w:rPr>
              <w:t>，</w:t>
            </w:r>
            <w:r w:rsidRPr="00D55B7A">
              <w:rPr>
                <w:rFonts w:ascii="Times New Roman" w:eastAsia="標楷體" w:hAnsi="Times New Roman" w:cs="Times New Roman" w:hint="eastAsia"/>
              </w:rPr>
              <w:t>近年來病原菌對</w:t>
            </w:r>
            <w:r w:rsidRPr="00D55B7A">
              <w:rPr>
                <w:rFonts w:ascii="Times New Roman" w:eastAsia="標楷體" w:hAnsi="Times New Roman" w:cs="Times New Roman" w:hint="eastAsia"/>
              </w:rPr>
              <w:t>a</w:t>
            </w:r>
            <w:r w:rsidRPr="00D55B7A">
              <w:rPr>
                <w:rFonts w:ascii="Times New Roman" w:eastAsia="標楷體" w:hAnsi="Times New Roman" w:cs="Times New Roman"/>
              </w:rPr>
              <w:t>zithromycin</w:t>
            </w:r>
            <w:r w:rsidRPr="00D55B7A">
              <w:rPr>
                <w:rFonts w:ascii="Times New Roman" w:eastAsia="標楷體" w:hAnsi="Times New Roman" w:cs="Times New Roman"/>
              </w:rPr>
              <w:t>的抗藥性有增加的趨勢</w:t>
            </w:r>
            <w:r w:rsidRPr="00D55B7A">
              <w:rPr>
                <w:rFonts w:ascii="標楷體" w:eastAsia="標楷體" w:hAnsi="標楷體" w:cs="Times New Roman" w:hint="eastAsia"/>
              </w:rPr>
              <w:t>。</w:t>
            </w:r>
          </w:p>
          <w:p w14:paraId="6061AE45" w14:textId="77777777" w:rsidR="0093613E" w:rsidRPr="0003546B" w:rsidRDefault="0093613E" w:rsidP="0093613E">
            <w:pPr>
              <w:pStyle w:val="Web"/>
              <w:numPr>
                <w:ilvl w:val="1"/>
                <w:numId w:val="1"/>
              </w:numPr>
              <w:tabs>
                <w:tab w:val="clear" w:pos="1440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</w:rPr>
            </w:pPr>
            <w:r w:rsidRPr="007C0C09">
              <w:rPr>
                <w:rFonts w:ascii="Times New Roman" w:eastAsia="標楷體" w:hAnsi="Times New Roman" w:hint="eastAsia"/>
              </w:rPr>
              <w:t>請務必確實遵</w:t>
            </w:r>
            <w:r>
              <w:rPr>
                <w:rFonts w:ascii="Times New Roman" w:eastAsia="標楷體" w:hAnsi="Times New Roman" w:hint="eastAsia"/>
              </w:rPr>
              <w:t>循醫囑使用</w:t>
            </w:r>
            <w:r>
              <w:rPr>
                <w:rFonts w:ascii="Times New Roman" w:eastAsia="標楷體" w:hAnsi="Times New Roman" w:hint="eastAsia"/>
              </w:rPr>
              <w:t>a</w:t>
            </w:r>
            <w:r>
              <w:rPr>
                <w:rFonts w:ascii="Times New Roman" w:eastAsia="標楷體" w:hAnsi="Times New Roman"/>
              </w:rPr>
              <w:t>zithromycin</w:t>
            </w:r>
            <w:r>
              <w:rPr>
                <w:rFonts w:ascii="Times New Roman" w:eastAsia="標楷體" w:hAnsi="Times New Roman"/>
              </w:rPr>
              <w:t>抗生素</w:t>
            </w:r>
            <w:r>
              <w:rPr>
                <w:rFonts w:ascii="新細明體" w:eastAsia="新細明體" w:hAnsi="新細明體" w:hint="eastAsia"/>
              </w:rPr>
              <w:t>；</w:t>
            </w:r>
            <w:r w:rsidRPr="0003546B">
              <w:rPr>
                <w:rFonts w:ascii="Times New Roman" w:eastAsia="標楷體" w:hAnsi="Times New Roman" w:hint="eastAsia"/>
              </w:rPr>
              <w:t>即使您的感染症</w:t>
            </w:r>
            <w:proofErr w:type="gramStart"/>
            <w:r w:rsidRPr="0003546B">
              <w:rPr>
                <w:rFonts w:ascii="Times New Roman" w:eastAsia="標楷體" w:hAnsi="Times New Roman" w:hint="eastAsia"/>
              </w:rPr>
              <w:t>症狀已緩解</w:t>
            </w:r>
            <w:proofErr w:type="gramEnd"/>
            <w:r w:rsidRPr="0003546B">
              <w:rPr>
                <w:rFonts w:ascii="Times New Roman" w:eastAsia="標楷體" w:hAnsi="Times New Roman" w:hint="eastAsia"/>
              </w:rPr>
              <w:t>，仍須完成整個抗生素療程</w:t>
            </w:r>
            <w:r>
              <w:rPr>
                <w:rFonts w:ascii="標楷體" w:eastAsia="標楷體" w:hAnsi="標楷體" w:hint="eastAsia"/>
              </w:rPr>
              <w:t>，</w:t>
            </w:r>
            <w:r w:rsidRPr="0003546B">
              <w:rPr>
                <w:rFonts w:ascii="Times New Roman" w:eastAsia="標楷體" w:hAnsi="Times New Roman" w:hint="eastAsia"/>
              </w:rPr>
              <w:t>以</w:t>
            </w:r>
            <w:r>
              <w:rPr>
                <w:rFonts w:ascii="Times New Roman" w:eastAsia="標楷體" w:hAnsi="Times New Roman" w:hint="eastAsia"/>
              </w:rPr>
              <w:t>確保抗生素的療效並</w:t>
            </w:r>
            <w:r w:rsidRPr="0003546B">
              <w:rPr>
                <w:rFonts w:ascii="Times New Roman" w:eastAsia="標楷體" w:hAnsi="Times New Roman" w:hint="eastAsia"/>
              </w:rPr>
              <w:t>避免抗藥性產生。</w:t>
            </w:r>
            <w:r w:rsidRPr="0003546B">
              <w:rPr>
                <w:rFonts w:ascii="Times New Roman" w:eastAsia="標楷體" w:hAnsi="Times New Roman" w:cs="Times New Roman" w:hint="eastAsia"/>
              </w:rPr>
              <w:t>除非您的處方醫師建議，否則切勿自行停藥</w:t>
            </w:r>
            <w:r w:rsidRPr="0003546B">
              <w:rPr>
                <w:rFonts w:ascii="Times New Roman" w:eastAsia="標楷體" w:hAnsi="Times New Roman" w:hint="eastAsia"/>
              </w:rPr>
              <w:t>。</w:t>
            </w:r>
          </w:p>
          <w:p w14:paraId="1E67694E" w14:textId="21FE0464" w:rsidR="0093613E" w:rsidRDefault="0093613E" w:rsidP="0093613E">
            <w:pPr>
              <w:pStyle w:val="Web"/>
              <w:numPr>
                <w:ilvl w:val="1"/>
                <w:numId w:val="1"/>
              </w:numPr>
              <w:tabs>
                <w:tab w:val="clear" w:pos="1440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若您於用藥期間出現任何不適或副作用，請回診告知醫師。</w:t>
            </w:r>
            <w:r w:rsidRPr="0036367B">
              <w:rPr>
                <w:rFonts w:ascii="Times New Roman" w:eastAsia="標楷體" w:hAnsi="Times New Roman" w:cs="Times New Roman" w:hint="eastAsia"/>
              </w:rPr>
              <w:t>若對於用藥有任何的疑問或疑慮，請諮詢醫療人員</w:t>
            </w:r>
            <w:r w:rsidRPr="0036367B">
              <w:rPr>
                <w:rFonts w:ascii="Times New Roman" w:eastAsia="標楷體" w:hAnsi="Times New Roman" w:cs="Times New Roman"/>
              </w:rPr>
              <w:t>。</w:t>
            </w:r>
          </w:p>
          <w:p w14:paraId="28FB2288" w14:textId="77777777" w:rsidR="00004671" w:rsidRPr="0036367B" w:rsidRDefault="00004671" w:rsidP="00004671">
            <w:pPr>
              <w:pStyle w:val="Web"/>
              <w:spacing w:before="0" w:beforeAutospacing="0" w:after="0" w:afterAutospacing="0" w:line="400" w:lineRule="exact"/>
              <w:ind w:left="638"/>
              <w:jc w:val="both"/>
              <w:rPr>
                <w:rFonts w:ascii="Times New Roman" w:eastAsia="標楷體" w:hAnsi="Times New Roman" w:cs="Times New Roman"/>
              </w:rPr>
            </w:pPr>
          </w:p>
          <w:p w14:paraId="31BCB925" w14:textId="049954F9" w:rsidR="0093613E" w:rsidRDefault="0093613E" w:rsidP="00004671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ind w:left="273" w:hanging="284"/>
              <w:rPr>
                <w:rFonts w:ascii="Times New Roman" w:eastAsia="標楷體" w:hAnsi="Times New Roman"/>
                <w:color w:val="000000"/>
              </w:rPr>
            </w:pPr>
            <w:r w:rsidRPr="0077271F">
              <w:rPr>
                <w:rFonts w:ascii="Times New Roman" w:eastAsia="標楷體" w:hAnsi="Times New Roman" w:hint="eastAsia"/>
              </w:rPr>
              <w:t>醫療人員或病人懷疑因為使用</w:t>
            </w:r>
            <w:r w:rsidR="00004671">
              <w:rPr>
                <w:rFonts w:ascii="Times New Roman" w:eastAsia="標楷體" w:hAnsi="Times New Roman" w:hint="eastAsia"/>
              </w:rPr>
              <w:t>(</w:t>
            </w:r>
            <w:r w:rsidRPr="0077271F">
              <w:rPr>
                <w:rFonts w:ascii="Times New Roman" w:eastAsia="標楷體" w:hAnsi="Times New Roman" w:hint="eastAsia"/>
              </w:rPr>
              <w:t>服用</w:t>
            </w:r>
            <w:r w:rsidR="00004671">
              <w:rPr>
                <w:rFonts w:ascii="Times New Roman" w:eastAsia="標楷體" w:hAnsi="Times New Roman" w:hint="eastAsia"/>
              </w:rPr>
              <w:t>)</w:t>
            </w:r>
            <w:r w:rsidRPr="0077271F">
              <w:rPr>
                <w:rFonts w:ascii="Times New Roman" w:eastAsia="標楷體" w:hAnsi="Times New Roman" w:hint="eastAsia"/>
              </w:rPr>
              <w:t>藥品導致不良反應發生時，請立即通報給衛生</w:t>
            </w:r>
            <w:proofErr w:type="gramStart"/>
            <w:r w:rsidRPr="0077271F">
              <w:rPr>
                <w:rFonts w:ascii="Times New Roman" w:eastAsia="標楷體" w:hAnsi="Times New Roman" w:hint="eastAsia"/>
              </w:rPr>
              <w:t>福利部所建置</w:t>
            </w:r>
            <w:proofErr w:type="gramEnd"/>
            <w:r w:rsidRPr="0077271F">
              <w:rPr>
                <w:rFonts w:ascii="Times New Roman" w:eastAsia="標楷體" w:hAnsi="Times New Roman" w:hint="eastAsia"/>
              </w:rPr>
              <w:t>之全國藥物不良反應通報中心，並副知所屬廠商</w:t>
            </w:r>
            <w:r w:rsidR="00004671">
              <w:rPr>
                <w:rFonts w:ascii="Times New Roman" w:eastAsia="標楷體" w:hAnsi="Times New Roman" w:hint="eastAsia"/>
              </w:rPr>
              <w:t>(</w:t>
            </w:r>
            <w:r w:rsidRPr="0077271F">
              <w:rPr>
                <w:rFonts w:ascii="Times New Roman" w:eastAsia="標楷體" w:hAnsi="Times New Roman" w:hint="eastAsia"/>
              </w:rPr>
              <w:t>全國藥物不良反應通報中心：專線</w:t>
            </w:r>
            <w:r w:rsidRPr="0077271F">
              <w:rPr>
                <w:rFonts w:ascii="Times New Roman" w:eastAsia="標楷體" w:hAnsi="Times New Roman"/>
              </w:rPr>
              <w:t>02-2396-0100</w:t>
            </w:r>
            <w:r w:rsidRPr="0077271F">
              <w:rPr>
                <w:rFonts w:ascii="Times New Roman" w:eastAsia="標楷體" w:hAnsi="Times New Roman" w:hint="eastAsia"/>
              </w:rPr>
              <w:t>，網站</w:t>
            </w:r>
            <w:hyperlink r:id="rId9" w:history="1">
              <w:r w:rsidRPr="00425151">
                <w:rPr>
                  <w:rStyle w:val="ab"/>
                  <w:rFonts w:ascii="Times New Roman" w:eastAsia="標楷體" w:hAnsi="Times New Roman"/>
                </w:rPr>
                <w:t>https://adr.fda.gov.tw</w:t>
              </w:r>
            </w:hyperlink>
            <w:r w:rsidR="00004671" w:rsidRPr="00004671">
              <w:rPr>
                <w:rFonts w:ascii="Times New Roman" w:eastAsia="標楷體" w:hAnsi="Times New Roman" w:hint="eastAsia"/>
              </w:rPr>
              <w:t>)</w:t>
            </w:r>
            <w:r w:rsidRPr="0077271F">
              <w:rPr>
                <w:rFonts w:ascii="Times New Roman" w:eastAsia="標楷體" w:hAnsi="Times New Roman" w:hint="eastAsia"/>
              </w:rPr>
              <w:t>；衛生福利部食品藥物管理署獲知藥品安全訊息時，</w:t>
            </w:r>
            <w:proofErr w:type="gramStart"/>
            <w:r w:rsidRPr="0077271F">
              <w:rPr>
                <w:rFonts w:ascii="Times New Roman" w:eastAsia="標楷體" w:hAnsi="Times New Roman" w:hint="eastAsia"/>
              </w:rPr>
              <w:t>均會蒐集</w:t>
            </w:r>
            <w:proofErr w:type="gramEnd"/>
            <w:r w:rsidRPr="0077271F">
              <w:rPr>
                <w:rFonts w:ascii="Times New Roman" w:eastAsia="標楷體" w:hAnsi="Times New Roman" w:hint="eastAsia"/>
              </w:rPr>
              <w:t>彙整相關資料進行評估，並對於新增之藥品風險採取對應之風險管控措施。</w:t>
            </w:r>
          </w:p>
        </w:tc>
      </w:tr>
    </w:tbl>
    <w:p w14:paraId="58F39C8F" w14:textId="342425D1" w:rsidR="00D323F7" w:rsidRPr="00D323F7" w:rsidRDefault="00D323F7">
      <w:pPr>
        <w:rPr>
          <w:rFonts w:ascii="Times New Roman" w:eastAsia="標楷體" w:hAnsi="Times New Roman"/>
        </w:rPr>
      </w:pPr>
    </w:p>
    <w:sectPr w:rsidR="00D323F7" w:rsidRPr="00D323F7" w:rsidSect="001567EC">
      <w:footerReference w:type="default" r:id="rId10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46B6C" w14:textId="77777777" w:rsidR="00715EAD" w:rsidRDefault="00715EAD" w:rsidP="003B56BC">
      <w:r>
        <w:separator/>
      </w:r>
    </w:p>
  </w:endnote>
  <w:endnote w:type="continuationSeparator" w:id="0">
    <w:p w14:paraId="18739A69" w14:textId="77777777" w:rsidR="00715EAD" w:rsidRDefault="00715EAD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Adobe 繁黑體 Std B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7102435"/>
      <w:docPartObj>
        <w:docPartGallery w:val="Page Numbers (Bottom of Page)"/>
        <w:docPartUnique/>
      </w:docPartObj>
    </w:sdtPr>
    <w:sdtEndPr/>
    <w:sdtContent>
      <w:p w14:paraId="27ABB8E7" w14:textId="388A5C02" w:rsidR="0093613E" w:rsidRDefault="0093613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BAACEEC" w14:textId="77777777" w:rsidR="0093613E" w:rsidRDefault="0093613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7B916" w14:textId="77777777" w:rsidR="00715EAD" w:rsidRDefault="00715EAD" w:rsidP="003B56BC">
      <w:r>
        <w:separator/>
      </w:r>
    </w:p>
  </w:footnote>
  <w:footnote w:type="continuationSeparator" w:id="0">
    <w:p w14:paraId="503A9995" w14:textId="77777777" w:rsidR="00715EAD" w:rsidRDefault="00715EAD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5665"/>
    <w:multiLevelType w:val="hybridMultilevel"/>
    <w:tmpl w:val="6FF8E6B4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4986353"/>
    <w:multiLevelType w:val="hybridMultilevel"/>
    <w:tmpl w:val="4DD4234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5345D2E"/>
    <w:multiLevelType w:val="hybridMultilevel"/>
    <w:tmpl w:val="0E785D7A"/>
    <w:lvl w:ilvl="0" w:tplc="E832578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7D0561D"/>
    <w:multiLevelType w:val="hybridMultilevel"/>
    <w:tmpl w:val="D86C454A"/>
    <w:lvl w:ilvl="0" w:tplc="0409000F">
      <w:start w:val="1"/>
      <w:numFmt w:val="decimal"/>
      <w:lvlText w:val="%1."/>
      <w:lvlJc w:val="left"/>
      <w:pPr>
        <w:ind w:left="9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26" w:hanging="480"/>
      </w:pPr>
    </w:lvl>
    <w:lvl w:ilvl="2" w:tplc="0409001B" w:tentative="1">
      <w:start w:val="1"/>
      <w:numFmt w:val="lowerRoman"/>
      <w:lvlText w:val="%3."/>
      <w:lvlJc w:val="right"/>
      <w:pPr>
        <w:ind w:left="1906" w:hanging="480"/>
      </w:pPr>
    </w:lvl>
    <w:lvl w:ilvl="3" w:tplc="0409000F" w:tentative="1">
      <w:start w:val="1"/>
      <w:numFmt w:val="decimal"/>
      <w:lvlText w:val="%4."/>
      <w:lvlJc w:val="left"/>
      <w:pPr>
        <w:ind w:left="23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6" w:hanging="480"/>
      </w:pPr>
    </w:lvl>
    <w:lvl w:ilvl="5" w:tplc="0409001B" w:tentative="1">
      <w:start w:val="1"/>
      <w:numFmt w:val="lowerRoman"/>
      <w:lvlText w:val="%6."/>
      <w:lvlJc w:val="right"/>
      <w:pPr>
        <w:ind w:left="3346" w:hanging="480"/>
      </w:pPr>
    </w:lvl>
    <w:lvl w:ilvl="6" w:tplc="0409000F" w:tentative="1">
      <w:start w:val="1"/>
      <w:numFmt w:val="decimal"/>
      <w:lvlText w:val="%7."/>
      <w:lvlJc w:val="left"/>
      <w:pPr>
        <w:ind w:left="38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6" w:hanging="480"/>
      </w:pPr>
    </w:lvl>
    <w:lvl w:ilvl="8" w:tplc="0409001B" w:tentative="1">
      <w:start w:val="1"/>
      <w:numFmt w:val="lowerRoman"/>
      <w:lvlText w:val="%9."/>
      <w:lvlJc w:val="right"/>
      <w:pPr>
        <w:ind w:left="4786" w:hanging="480"/>
      </w:pPr>
    </w:lvl>
  </w:abstractNum>
  <w:abstractNum w:abstractNumId="4" w15:restartNumberingAfterBreak="0">
    <w:nsid w:val="098012C2"/>
    <w:multiLevelType w:val="hybridMultilevel"/>
    <w:tmpl w:val="906C271E"/>
    <w:lvl w:ilvl="0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5" w15:restartNumberingAfterBreak="0">
    <w:nsid w:val="09EE1A3C"/>
    <w:multiLevelType w:val="hybridMultilevel"/>
    <w:tmpl w:val="6A722000"/>
    <w:lvl w:ilvl="0" w:tplc="0409000B">
      <w:start w:val="1"/>
      <w:numFmt w:val="bullet"/>
      <w:lvlText w:val=""/>
      <w:lvlJc w:val="left"/>
      <w:pPr>
        <w:ind w:left="106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4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8" w:hanging="480"/>
      </w:pPr>
      <w:rPr>
        <w:rFonts w:ascii="Wingdings" w:hAnsi="Wingdings" w:hint="default"/>
      </w:rPr>
    </w:lvl>
  </w:abstractNum>
  <w:abstractNum w:abstractNumId="6" w15:restartNumberingAfterBreak="0">
    <w:nsid w:val="0A1A3AC6"/>
    <w:multiLevelType w:val="hybridMultilevel"/>
    <w:tmpl w:val="EDB851C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0A981140"/>
    <w:multiLevelType w:val="hybridMultilevel"/>
    <w:tmpl w:val="BE9289F0"/>
    <w:lvl w:ilvl="0" w:tplc="52E0D302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217221A"/>
    <w:multiLevelType w:val="hybridMultilevel"/>
    <w:tmpl w:val="0D78FBBE"/>
    <w:lvl w:ilvl="0" w:tplc="4346569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3746F2D"/>
    <w:multiLevelType w:val="hybridMultilevel"/>
    <w:tmpl w:val="4D24D15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E88E510C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  <w:lang w:val="en-US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500520E"/>
    <w:multiLevelType w:val="hybridMultilevel"/>
    <w:tmpl w:val="5F5E109E"/>
    <w:lvl w:ilvl="0" w:tplc="D89EE736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16C06DE5"/>
    <w:multiLevelType w:val="hybridMultilevel"/>
    <w:tmpl w:val="712C18FE"/>
    <w:lvl w:ilvl="0" w:tplc="63DAFAF4">
      <w:start w:val="1"/>
      <w:numFmt w:val="lowerLetter"/>
      <w:lvlText w:val="(%1).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17223523"/>
    <w:multiLevelType w:val="hybridMultilevel"/>
    <w:tmpl w:val="7A36EA60"/>
    <w:lvl w:ilvl="0" w:tplc="2BBE83C2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AED2BC9"/>
    <w:multiLevelType w:val="hybridMultilevel"/>
    <w:tmpl w:val="CB481D2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1CE0623D"/>
    <w:multiLevelType w:val="hybridMultilevel"/>
    <w:tmpl w:val="0838AB8C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1E7F12FD"/>
    <w:multiLevelType w:val="hybridMultilevel"/>
    <w:tmpl w:val="77603F70"/>
    <w:lvl w:ilvl="0" w:tplc="3CB4141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F802938"/>
    <w:multiLevelType w:val="hybridMultilevel"/>
    <w:tmpl w:val="7DC6740C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7" w15:restartNumberingAfterBreak="0">
    <w:nsid w:val="20517FFC"/>
    <w:multiLevelType w:val="hybridMultilevel"/>
    <w:tmpl w:val="6D18A2B8"/>
    <w:lvl w:ilvl="0" w:tplc="999C60C2">
      <w:start w:val="1"/>
      <w:numFmt w:val="decimal"/>
      <w:lvlText w:val="(%1)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8" w15:restartNumberingAfterBreak="0">
    <w:nsid w:val="22E849D2"/>
    <w:multiLevelType w:val="hybridMultilevel"/>
    <w:tmpl w:val="A79EDC0E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19" w15:restartNumberingAfterBreak="0">
    <w:nsid w:val="28CC6620"/>
    <w:multiLevelType w:val="hybridMultilevel"/>
    <w:tmpl w:val="4E687748"/>
    <w:lvl w:ilvl="0" w:tplc="4346569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292F36F3"/>
    <w:multiLevelType w:val="hybridMultilevel"/>
    <w:tmpl w:val="6874B950"/>
    <w:lvl w:ilvl="0" w:tplc="0409000F">
      <w:start w:val="1"/>
      <w:numFmt w:val="decimal"/>
      <w:lvlText w:val="%1."/>
      <w:lvlJc w:val="left"/>
      <w:pPr>
        <w:ind w:left="826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21" w15:restartNumberingAfterBreak="0">
    <w:nsid w:val="2A1C3999"/>
    <w:multiLevelType w:val="hybridMultilevel"/>
    <w:tmpl w:val="C9A2E20C"/>
    <w:lvl w:ilvl="0" w:tplc="5164F0A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2E484CD9"/>
    <w:multiLevelType w:val="hybridMultilevel"/>
    <w:tmpl w:val="CC9860F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2EF06171"/>
    <w:multiLevelType w:val="hybridMultilevel"/>
    <w:tmpl w:val="0082EE4A"/>
    <w:lvl w:ilvl="0" w:tplc="2BBE83C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FA63ADD"/>
    <w:multiLevelType w:val="hybridMultilevel"/>
    <w:tmpl w:val="ED9E8F82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25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39BA6074"/>
    <w:multiLevelType w:val="hybridMultilevel"/>
    <w:tmpl w:val="0504EE86"/>
    <w:lvl w:ilvl="0" w:tplc="7A962CDA">
      <w:start w:val="99"/>
      <w:numFmt w:val="bullet"/>
      <w:lvlText w:val="◎"/>
      <w:lvlJc w:val="left"/>
      <w:pPr>
        <w:ind w:left="514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4" w:hanging="480"/>
      </w:pPr>
      <w:rPr>
        <w:rFonts w:ascii="Wingdings" w:hAnsi="Wingdings" w:hint="default"/>
      </w:rPr>
    </w:lvl>
  </w:abstractNum>
  <w:abstractNum w:abstractNumId="27" w15:restartNumberingAfterBreak="0">
    <w:nsid w:val="3B817CA0"/>
    <w:multiLevelType w:val="hybridMultilevel"/>
    <w:tmpl w:val="A192E4B8"/>
    <w:lvl w:ilvl="0" w:tplc="0409000F">
      <w:start w:val="1"/>
      <w:numFmt w:val="decimal"/>
      <w:lvlText w:val="%1."/>
      <w:lvlJc w:val="left"/>
      <w:pPr>
        <w:ind w:left="4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28" w15:restartNumberingAfterBreak="0">
    <w:nsid w:val="405368BF"/>
    <w:multiLevelType w:val="hybridMultilevel"/>
    <w:tmpl w:val="440CE59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407A40F3"/>
    <w:multiLevelType w:val="hybridMultilevel"/>
    <w:tmpl w:val="DC346CDC"/>
    <w:lvl w:ilvl="0" w:tplc="E832578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1784953"/>
    <w:multiLevelType w:val="hybridMultilevel"/>
    <w:tmpl w:val="839C65F2"/>
    <w:lvl w:ilvl="0" w:tplc="3CB4141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3EC6A4B"/>
    <w:multiLevelType w:val="hybridMultilevel"/>
    <w:tmpl w:val="04F0A722"/>
    <w:lvl w:ilvl="0" w:tplc="D89EE736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2" w15:restartNumberingAfterBreak="0">
    <w:nsid w:val="480B2163"/>
    <w:multiLevelType w:val="hybridMultilevel"/>
    <w:tmpl w:val="F47AB16A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4AC22AE1"/>
    <w:multiLevelType w:val="hybridMultilevel"/>
    <w:tmpl w:val="6E52B178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4" w15:restartNumberingAfterBreak="0">
    <w:nsid w:val="4C981707"/>
    <w:multiLevelType w:val="hybridMultilevel"/>
    <w:tmpl w:val="D3A03C62"/>
    <w:lvl w:ilvl="0" w:tplc="DE560608">
      <w:start w:val="1"/>
      <w:numFmt w:val="lowerLetter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5" w15:restartNumberingAfterBreak="0">
    <w:nsid w:val="5464532D"/>
    <w:multiLevelType w:val="hybridMultilevel"/>
    <w:tmpl w:val="35FA21A8"/>
    <w:lvl w:ilvl="0" w:tplc="4346569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56E9705B"/>
    <w:multiLevelType w:val="hybridMultilevel"/>
    <w:tmpl w:val="638AF91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5A4A24FB"/>
    <w:multiLevelType w:val="hybridMultilevel"/>
    <w:tmpl w:val="FE12BE4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5B4705AB"/>
    <w:multiLevelType w:val="hybridMultilevel"/>
    <w:tmpl w:val="5CD858CA"/>
    <w:lvl w:ilvl="0" w:tplc="990E5D48">
      <w:start w:val="1"/>
      <w:numFmt w:val="decimal"/>
      <w:lvlText w:val="%1."/>
      <w:lvlJc w:val="left"/>
      <w:pPr>
        <w:ind w:left="826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5E6A4CB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5FF330CE"/>
    <w:multiLevelType w:val="hybridMultilevel"/>
    <w:tmpl w:val="29DE7F68"/>
    <w:lvl w:ilvl="0" w:tplc="0409000B">
      <w:start w:val="1"/>
      <w:numFmt w:val="bullet"/>
      <w:lvlText w:val=""/>
      <w:lvlJc w:val="left"/>
      <w:pPr>
        <w:ind w:left="142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0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4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2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0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8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66" w:hanging="480"/>
      </w:pPr>
      <w:rPr>
        <w:rFonts w:ascii="Wingdings" w:hAnsi="Wingdings" w:hint="default"/>
      </w:rPr>
    </w:lvl>
  </w:abstractNum>
  <w:abstractNum w:abstractNumId="41" w15:restartNumberingAfterBreak="0">
    <w:nsid w:val="604760F9"/>
    <w:multiLevelType w:val="hybridMultilevel"/>
    <w:tmpl w:val="EC60A6E6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 w15:restartNumberingAfterBreak="0">
    <w:nsid w:val="65CF742A"/>
    <w:multiLevelType w:val="hybridMultilevel"/>
    <w:tmpl w:val="A85A258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66B1543E"/>
    <w:multiLevelType w:val="hybridMultilevel"/>
    <w:tmpl w:val="139EF982"/>
    <w:lvl w:ilvl="0" w:tplc="CC74157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6AAB6370"/>
    <w:multiLevelType w:val="hybridMultilevel"/>
    <w:tmpl w:val="22BE2080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45" w15:restartNumberingAfterBreak="0">
    <w:nsid w:val="6CDA33FB"/>
    <w:multiLevelType w:val="hybridMultilevel"/>
    <w:tmpl w:val="D94024A8"/>
    <w:lvl w:ilvl="0" w:tplc="04090001">
      <w:start w:val="1"/>
      <w:numFmt w:val="bullet"/>
      <w:lvlText w:val=""/>
      <w:lvlJc w:val="left"/>
      <w:pPr>
        <w:ind w:left="83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77" w:hanging="480"/>
      </w:pPr>
      <w:rPr>
        <w:rFonts w:ascii="Wingdings" w:hAnsi="Wingdings" w:hint="default"/>
      </w:rPr>
    </w:lvl>
  </w:abstractNum>
  <w:abstractNum w:abstractNumId="46" w15:restartNumberingAfterBreak="0">
    <w:nsid w:val="73AD0DED"/>
    <w:multiLevelType w:val="hybridMultilevel"/>
    <w:tmpl w:val="FF727686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7" w15:restartNumberingAfterBreak="0">
    <w:nsid w:val="73F312AE"/>
    <w:multiLevelType w:val="hybridMultilevel"/>
    <w:tmpl w:val="8308588E"/>
    <w:lvl w:ilvl="0" w:tplc="4C0AA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78494B79"/>
    <w:multiLevelType w:val="hybridMultilevel"/>
    <w:tmpl w:val="5B7AB09E"/>
    <w:lvl w:ilvl="0" w:tplc="CC74157E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49" w15:restartNumberingAfterBreak="0">
    <w:nsid w:val="79057742"/>
    <w:multiLevelType w:val="hybridMultilevel"/>
    <w:tmpl w:val="D416FA64"/>
    <w:lvl w:ilvl="0" w:tplc="41B8BBC4">
      <w:start w:val="1"/>
      <w:numFmt w:val="bullet"/>
      <w:lvlText w:val=""/>
      <w:lvlJc w:val="left"/>
      <w:pPr>
        <w:ind w:left="83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77" w:hanging="480"/>
      </w:pPr>
      <w:rPr>
        <w:rFonts w:ascii="Wingdings" w:hAnsi="Wingdings" w:hint="default"/>
      </w:rPr>
    </w:lvl>
  </w:abstractNum>
  <w:abstractNum w:abstractNumId="50" w15:restartNumberingAfterBreak="0">
    <w:nsid w:val="79383E94"/>
    <w:multiLevelType w:val="hybridMultilevel"/>
    <w:tmpl w:val="CDA6DE76"/>
    <w:lvl w:ilvl="0" w:tplc="E8325788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51" w15:restartNumberingAfterBreak="0">
    <w:nsid w:val="7C03612B"/>
    <w:multiLevelType w:val="hybridMultilevel"/>
    <w:tmpl w:val="D50A9DB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2" w15:restartNumberingAfterBreak="0">
    <w:nsid w:val="7ECB7605"/>
    <w:multiLevelType w:val="hybridMultilevel"/>
    <w:tmpl w:val="C79058D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3" w15:restartNumberingAfterBreak="0">
    <w:nsid w:val="7F467457"/>
    <w:multiLevelType w:val="hybridMultilevel"/>
    <w:tmpl w:val="07745C30"/>
    <w:lvl w:ilvl="0" w:tplc="11DEAF3C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0"/>
  </w:num>
  <w:num w:numId="4">
    <w:abstractNumId w:val="44"/>
  </w:num>
  <w:num w:numId="5">
    <w:abstractNumId w:val="37"/>
  </w:num>
  <w:num w:numId="6">
    <w:abstractNumId w:val="14"/>
  </w:num>
  <w:num w:numId="7">
    <w:abstractNumId w:val="28"/>
  </w:num>
  <w:num w:numId="8">
    <w:abstractNumId w:val="31"/>
  </w:num>
  <w:num w:numId="9">
    <w:abstractNumId w:val="33"/>
  </w:num>
  <w:num w:numId="10">
    <w:abstractNumId w:val="5"/>
  </w:num>
  <w:num w:numId="11">
    <w:abstractNumId w:val="16"/>
  </w:num>
  <w:num w:numId="12">
    <w:abstractNumId w:val="51"/>
  </w:num>
  <w:num w:numId="13">
    <w:abstractNumId w:val="6"/>
  </w:num>
  <w:num w:numId="14">
    <w:abstractNumId w:val="36"/>
  </w:num>
  <w:num w:numId="15">
    <w:abstractNumId w:val="22"/>
  </w:num>
  <w:num w:numId="16">
    <w:abstractNumId w:val="46"/>
  </w:num>
  <w:num w:numId="17">
    <w:abstractNumId w:val="24"/>
  </w:num>
  <w:num w:numId="18">
    <w:abstractNumId w:val="18"/>
  </w:num>
  <w:num w:numId="19">
    <w:abstractNumId w:val="20"/>
  </w:num>
  <w:num w:numId="20">
    <w:abstractNumId w:val="41"/>
  </w:num>
  <w:num w:numId="21">
    <w:abstractNumId w:val="42"/>
  </w:num>
  <w:num w:numId="22">
    <w:abstractNumId w:val="29"/>
  </w:num>
  <w:num w:numId="23">
    <w:abstractNumId w:val="50"/>
  </w:num>
  <w:num w:numId="24">
    <w:abstractNumId w:val="2"/>
  </w:num>
  <w:num w:numId="25">
    <w:abstractNumId w:val="43"/>
  </w:num>
  <w:num w:numId="26">
    <w:abstractNumId w:val="48"/>
  </w:num>
  <w:num w:numId="27">
    <w:abstractNumId w:val="38"/>
  </w:num>
  <w:num w:numId="28">
    <w:abstractNumId w:val="7"/>
  </w:num>
  <w:num w:numId="29">
    <w:abstractNumId w:val="21"/>
  </w:num>
  <w:num w:numId="30">
    <w:abstractNumId w:val="1"/>
  </w:num>
  <w:num w:numId="31">
    <w:abstractNumId w:val="12"/>
  </w:num>
  <w:num w:numId="32">
    <w:abstractNumId w:val="23"/>
  </w:num>
  <w:num w:numId="33">
    <w:abstractNumId w:val="30"/>
  </w:num>
  <w:num w:numId="34">
    <w:abstractNumId w:val="15"/>
  </w:num>
  <w:num w:numId="35">
    <w:abstractNumId w:val="32"/>
  </w:num>
  <w:num w:numId="36">
    <w:abstractNumId w:val="53"/>
  </w:num>
  <w:num w:numId="37">
    <w:abstractNumId w:val="27"/>
  </w:num>
  <w:num w:numId="38">
    <w:abstractNumId w:val="3"/>
  </w:num>
  <w:num w:numId="39">
    <w:abstractNumId w:val="40"/>
  </w:num>
  <w:num w:numId="40">
    <w:abstractNumId w:val="4"/>
  </w:num>
  <w:num w:numId="41">
    <w:abstractNumId w:val="34"/>
  </w:num>
  <w:num w:numId="42">
    <w:abstractNumId w:val="11"/>
  </w:num>
  <w:num w:numId="43">
    <w:abstractNumId w:val="13"/>
  </w:num>
  <w:num w:numId="44">
    <w:abstractNumId w:val="52"/>
  </w:num>
  <w:num w:numId="45">
    <w:abstractNumId w:val="26"/>
  </w:num>
  <w:num w:numId="46">
    <w:abstractNumId w:val="47"/>
  </w:num>
  <w:num w:numId="47">
    <w:abstractNumId w:val="8"/>
  </w:num>
  <w:num w:numId="48">
    <w:abstractNumId w:val="19"/>
  </w:num>
  <w:num w:numId="49">
    <w:abstractNumId w:val="35"/>
  </w:num>
  <w:num w:numId="50">
    <w:abstractNumId w:val="45"/>
  </w:num>
  <w:num w:numId="51">
    <w:abstractNumId w:val="49"/>
  </w:num>
  <w:num w:numId="52">
    <w:abstractNumId w:val="25"/>
  </w:num>
  <w:num w:numId="53">
    <w:abstractNumId w:val="9"/>
  </w:num>
  <w:num w:numId="54">
    <w:abstractNumId w:val="39"/>
  </w:num>
  <w:num w:numId="55">
    <w:abstractNumId w:val="17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4671"/>
    <w:rsid w:val="0000533D"/>
    <w:rsid w:val="00011906"/>
    <w:rsid w:val="00014990"/>
    <w:rsid w:val="00016A9B"/>
    <w:rsid w:val="00017171"/>
    <w:rsid w:val="00017AD6"/>
    <w:rsid w:val="00024438"/>
    <w:rsid w:val="00032A84"/>
    <w:rsid w:val="0003449A"/>
    <w:rsid w:val="0003546B"/>
    <w:rsid w:val="00035D97"/>
    <w:rsid w:val="000417A7"/>
    <w:rsid w:val="0004206A"/>
    <w:rsid w:val="000436EC"/>
    <w:rsid w:val="00044E3E"/>
    <w:rsid w:val="0004625C"/>
    <w:rsid w:val="00054B63"/>
    <w:rsid w:val="00057BAD"/>
    <w:rsid w:val="00061084"/>
    <w:rsid w:val="0006115A"/>
    <w:rsid w:val="00061FDE"/>
    <w:rsid w:val="0006374A"/>
    <w:rsid w:val="00064AB3"/>
    <w:rsid w:val="000705C6"/>
    <w:rsid w:val="000841D6"/>
    <w:rsid w:val="00090719"/>
    <w:rsid w:val="000926E5"/>
    <w:rsid w:val="00093701"/>
    <w:rsid w:val="00093776"/>
    <w:rsid w:val="0009412B"/>
    <w:rsid w:val="00096F70"/>
    <w:rsid w:val="00097928"/>
    <w:rsid w:val="000A31B1"/>
    <w:rsid w:val="000A3E05"/>
    <w:rsid w:val="000B172E"/>
    <w:rsid w:val="000C168C"/>
    <w:rsid w:val="000C705F"/>
    <w:rsid w:val="000D0924"/>
    <w:rsid w:val="000D0FB2"/>
    <w:rsid w:val="000D414F"/>
    <w:rsid w:val="000D5C02"/>
    <w:rsid w:val="000D6621"/>
    <w:rsid w:val="000E1FC3"/>
    <w:rsid w:val="000E2A45"/>
    <w:rsid w:val="000E474E"/>
    <w:rsid w:val="000E66E7"/>
    <w:rsid w:val="000F5BF9"/>
    <w:rsid w:val="000F65AA"/>
    <w:rsid w:val="001037C9"/>
    <w:rsid w:val="00104870"/>
    <w:rsid w:val="001049E0"/>
    <w:rsid w:val="00105264"/>
    <w:rsid w:val="001070AF"/>
    <w:rsid w:val="0011544A"/>
    <w:rsid w:val="001164B5"/>
    <w:rsid w:val="001211A0"/>
    <w:rsid w:val="00125189"/>
    <w:rsid w:val="0013078F"/>
    <w:rsid w:val="00132D97"/>
    <w:rsid w:val="00133461"/>
    <w:rsid w:val="00136184"/>
    <w:rsid w:val="001365D2"/>
    <w:rsid w:val="001409C3"/>
    <w:rsid w:val="001466EA"/>
    <w:rsid w:val="00150360"/>
    <w:rsid w:val="00153858"/>
    <w:rsid w:val="00154725"/>
    <w:rsid w:val="001567EC"/>
    <w:rsid w:val="0015736A"/>
    <w:rsid w:val="00162D57"/>
    <w:rsid w:val="0016454F"/>
    <w:rsid w:val="00167294"/>
    <w:rsid w:val="00167FAE"/>
    <w:rsid w:val="0017115A"/>
    <w:rsid w:val="00172779"/>
    <w:rsid w:val="001778F7"/>
    <w:rsid w:val="0018503D"/>
    <w:rsid w:val="00186FAA"/>
    <w:rsid w:val="001934F1"/>
    <w:rsid w:val="001938C0"/>
    <w:rsid w:val="001979BC"/>
    <w:rsid w:val="001A0BED"/>
    <w:rsid w:val="001A16C2"/>
    <w:rsid w:val="001A3CD6"/>
    <w:rsid w:val="001B19B5"/>
    <w:rsid w:val="001B2908"/>
    <w:rsid w:val="001B36F2"/>
    <w:rsid w:val="001B5C60"/>
    <w:rsid w:val="001B7812"/>
    <w:rsid w:val="001C5A1B"/>
    <w:rsid w:val="001D43BC"/>
    <w:rsid w:val="001D5D19"/>
    <w:rsid w:val="001D6C93"/>
    <w:rsid w:val="001D789A"/>
    <w:rsid w:val="001E0447"/>
    <w:rsid w:val="001E0955"/>
    <w:rsid w:val="001E2BF8"/>
    <w:rsid w:val="001E4113"/>
    <w:rsid w:val="001E4D43"/>
    <w:rsid w:val="001E6F73"/>
    <w:rsid w:val="001E6F88"/>
    <w:rsid w:val="001F0155"/>
    <w:rsid w:val="001F088F"/>
    <w:rsid w:val="001F2486"/>
    <w:rsid w:val="00203113"/>
    <w:rsid w:val="00211E09"/>
    <w:rsid w:val="00214D82"/>
    <w:rsid w:val="0021575E"/>
    <w:rsid w:val="00215F9D"/>
    <w:rsid w:val="00233E51"/>
    <w:rsid w:val="00234997"/>
    <w:rsid w:val="002358FA"/>
    <w:rsid w:val="00235F72"/>
    <w:rsid w:val="0023689D"/>
    <w:rsid w:val="00240B54"/>
    <w:rsid w:val="00241556"/>
    <w:rsid w:val="002416F7"/>
    <w:rsid w:val="002420D6"/>
    <w:rsid w:val="0024247E"/>
    <w:rsid w:val="00246966"/>
    <w:rsid w:val="0025164B"/>
    <w:rsid w:val="00252DD4"/>
    <w:rsid w:val="002574BC"/>
    <w:rsid w:val="002622BF"/>
    <w:rsid w:val="00262D99"/>
    <w:rsid w:val="00262DDA"/>
    <w:rsid w:val="002647F8"/>
    <w:rsid w:val="0027252E"/>
    <w:rsid w:val="0027402D"/>
    <w:rsid w:val="0027776F"/>
    <w:rsid w:val="002825B5"/>
    <w:rsid w:val="002853C3"/>
    <w:rsid w:val="00285934"/>
    <w:rsid w:val="00290BBC"/>
    <w:rsid w:val="00291DFD"/>
    <w:rsid w:val="002A2CDB"/>
    <w:rsid w:val="002A3E0E"/>
    <w:rsid w:val="002A5FE0"/>
    <w:rsid w:val="002B40A9"/>
    <w:rsid w:val="002B5EAA"/>
    <w:rsid w:val="002C5626"/>
    <w:rsid w:val="002D1F34"/>
    <w:rsid w:val="002D3FC9"/>
    <w:rsid w:val="002E03D6"/>
    <w:rsid w:val="002E405D"/>
    <w:rsid w:val="002F036F"/>
    <w:rsid w:val="0030181F"/>
    <w:rsid w:val="003025BF"/>
    <w:rsid w:val="003209F3"/>
    <w:rsid w:val="003213C2"/>
    <w:rsid w:val="00335FF7"/>
    <w:rsid w:val="00336369"/>
    <w:rsid w:val="00342AF8"/>
    <w:rsid w:val="00343BA2"/>
    <w:rsid w:val="00344067"/>
    <w:rsid w:val="00344761"/>
    <w:rsid w:val="00346490"/>
    <w:rsid w:val="003577D0"/>
    <w:rsid w:val="00357EF8"/>
    <w:rsid w:val="0036151D"/>
    <w:rsid w:val="0036367B"/>
    <w:rsid w:val="003708D0"/>
    <w:rsid w:val="00370EB4"/>
    <w:rsid w:val="003722E2"/>
    <w:rsid w:val="00372751"/>
    <w:rsid w:val="00380E14"/>
    <w:rsid w:val="003850C5"/>
    <w:rsid w:val="00387C17"/>
    <w:rsid w:val="00391418"/>
    <w:rsid w:val="003A0731"/>
    <w:rsid w:val="003A2E58"/>
    <w:rsid w:val="003B36A0"/>
    <w:rsid w:val="003B53BF"/>
    <w:rsid w:val="003B56BC"/>
    <w:rsid w:val="003C0E64"/>
    <w:rsid w:val="003C54B8"/>
    <w:rsid w:val="003D70CB"/>
    <w:rsid w:val="003E166B"/>
    <w:rsid w:val="003F36D1"/>
    <w:rsid w:val="003F54EF"/>
    <w:rsid w:val="003F5598"/>
    <w:rsid w:val="00400BCB"/>
    <w:rsid w:val="00403A4A"/>
    <w:rsid w:val="004144A3"/>
    <w:rsid w:val="00416206"/>
    <w:rsid w:val="004201C9"/>
    <w:rsid w:val="00431A54"/>
    <w:rsid w:val="00431D24"/>
    <w:rsid w:val="00436E8E"/>
    <w:rsid w:val="00442988"/>
    <w:rsid w:val="00443436"/>
    <w:rsid w:val="00445BDB"/>
    <w:rsid w:val="004518A5"/>
    <w:rsid w:val="00453DFC"/>
    <w:rsid w:val="004559E9"/>
    <w:rsid w:val="00461A43"/>
    <w:rsid w:val="00462209"/>
    <w:rsid w:val="00462722"/>
    <w:rsid w:val="00470B91"/>
    <w:rsid w:val="0047128D"/>
    <w:rsid w:val="00473B11"/>
    <w:rsid w:val="00491631"/>
    <w:rsid w:val="00491E85"/>
    <w:rsid w:val="0049350B"/>
    <w:rsid w:val="00494350"/>
    <w:rsid w:val="004948DF"/>
    <w:rsid w:val="00494B0B"/>
    <w:rsid w:val="004956BA"/>
    <w:rsid w:val="004A2826"/>
    <w:rsid w:val="004A6510"/>
    <w:rsid w:val="004B621E"/>
    <w:rsid w:val="004C01D8"/>
    <w:rsid w:val="004E1E90"/>
    <w:rsid w:val="004E50EE"/>
    <w:rsid w:val="004F2FA5"/>
    <w:rsid w:val="00507416"/>
    <w:rsid w:val="005125B7"/>
    <w:rsid w:val="00513748"/>
    <w:rsid w:val="00514EFF"/>
    <w:rsid w:val="00521991"/>
    <w:rsid w:val="005244D5"/>
    <w:rsid w:val="00525106"/>
    <w:rsid w:val="005259B7"/>
    <w:rsid w:val="00525D2E"/>
    <w:rsid w:val="00541C57"/>
    <w:rsid w:val="005423E9"/>
    <w:rsid w:val="00542A08"/>
    <w:rsid w:val="0054364B"/>
    <w:rsid w:val="005441B0"/>
    <w:rsid w:val="00544659"/>
    <w:rsid w:val="0055218E"/>
    <w:rsid w:val="00555A10"/>
    <w:rsid w:val="0056559F"/>
    <w:rsid w:val="00567D81"/>
    <w:rsid w:val="00570194"/>
    <w:rsid w:val="00571BB2"/>
    <w:rsid w:val="00572D6D"/>
    <w:rsid w:val="00573145"/>
    <w:rsid w:val="00573D2C"/>
    <w:rsid w:val="0057706B"/>
    <w:rsid w:val="00577AD4"/>
    <w:rsid w:val="00580A11"/>
    <w:rsid w:val="00580DAA"/>
    <w:rsid w:val="00586F62"/>
    <w:rsid w:val="00590BF6"/>
    <w:rsid w:val="00594DDE"/>
    <w:rsid w:val="005A5149"/>
    <w:rsid w:val="005B477A"/>
    <w:rsid w:val="005B5A60"/>
    <w:rsid w:val="005B5AC5"/>
    <w:rsid w:val="005C1444"/>
    <w:rsid w:val="005C634F"/>
    <w:rsid w:val="005D01FD"/>
    <w:rsid w:val="005D55BA"/>
    <w:rsid w:val="005E3BF1"/>
    <w:rsid w:val="005E6046"/>
    <w:rsid w:val="005F407F"/>
    <w:rsid w:val="005F6D8A"/>
    <w:rsid w:val="00610055"/>
    <w:rsid w:val="00610FE3"/>
    <w:rsid w:val="00613B26"/>
    <w:rsid w:val="006209B4"/>
    <w:rsid w:val="00621754"/>
    <w:rsid w:val="00631223"/>
    <w:rsid w:val="006318F3"/>
    <w:rsid w:val="00631BCC"/>
    <w:rsid w:val="00642144"/>
    <w:rsid w:val="00644664"/>
    <w:rsid w:val="006448FD"/>
    <w:rsid w:val="00644C2D"/>
    <w:rsid w:val="006457C5"/>
    <w:rsid w:val="00650041"/>
    <w:rsid w:val="00656B13"/>
    <w:rsid w:val="0066058E"/>
    <w:rsid w:val="00670768"/>
    <w:rsid w:val="00670780"/>
    <w:rsid w:val="00671377"/>
    <w:rsid w:val="00672E06"/>
    <w:rsid w:val="006777C3"/>
    <w:rsid w:val="006849EF"/>
    <w:rsid w:val="00692E10"/>
    <w:rsid w:val="006949F6"/>
    <w:rsid w:val="006A07F0"/>
    <w:rsid w:val="006A1D07"/>
    <w:rsid w:val="006A2812"/>
    <w:rsid w:val="006A58A3"/>
    <w:rsid w:val="006A71AD"/>
    <w:rsid w:val="006B2E8F"/>
    <w:rsid w:val="006B5D10"/>
    <w:rsid w:val="006B6946"/>
    <w:rsid w:val="006C1F4B"/>
    <w:rsid w:val="006C234F"/>
    <w:rsid w:val="006C45B7"/>
    <w:rsid w:val="006C47BE"/>
    <w:rsid w:val="006C6FC3"/>
    <w:rsid w:val="006D4051"/>
    <w:rsid w:val="006E06D5"/>
    <w:rsid w:val="006E1BD3"/>
    <w:rsid w:val="006E3EFC"/>
    <w:rsid w:val="006E5222"/>
    <w:rsid w:val="006E572E"/>
    <w:rsid w:val="006F3C80"/>
    <w:rsid w:val="00701E62"/>
    <w:rsid w:val="00703733"/>
    <w:rsid w:val="00705769"/>
    <w:rsid w:val="00711D0C"/>
    <w:rsid w:val="007144AA"/>
    <w:rsid w:val="00715D05"/>
    <w:rsid w:val="00715EAD"/>
    <w:rsid w:val="00716EF9"/>
    <w:rsid w:val="007171AF"/>
    <w:rsid w:val="00722E6E"/>
    <w:rsid w:val="007234B7"/>
    <w:rsid w:val="00723752"/>
    <w:rsid w:val="00724B56"/>
    <w:rsid w:val="0073380E"/>
    <w:rsid w:val="00734068"/>
    <w:rsid w:val="00745F12"/>
    <w:rsid w:val="00747215"/>
    <w:rsid w:val="00747CC6"/>
    <w:rsid w:val="007662E0"/>
    <w:rsid w:val="00772699"/>
    <w:rsid w:val="007765B3"/>
    <w:rsid w:val="0077765F"/>
    <w:rsid w:val="00790EA3"/>
    <w:rsid w:val="00795BF3"/>
    <w:rsid w:val="007A358C"/>
    <w:rsid w:val="007A4CAF"/>
    <w:rsid w:val="007B1E92"/>
    <w:rsid w:val="007B7240"/>
    <w:rsid w:val="007B79BB"/>
    <w:rsid w:val="007C0BB7"/>
    <w:rsid w:val="007C0C09"/>
    <w:rsid w:val="007C1262"/>
    <w:rsid w:val="007D1DF8"/>
    <w:rsid w:val="007D2584"/>
    <w:rsid w:val="007D48EB"/>
    <w:rsid w:val="007D7314"/>
    <w:rsid w:val="007E1C9F"/>
    <w:rsid w:val="007E367A"/>
    <w:rsid w:val="007E715A"/>
    <w:rsid w:val="007F18FF"/>
    <w:rsid w:val="007F5278"/>
    <w:rsid w:val="00801CEE"/>
    <w:rsid w:val="00802B67"/>
    <w:rsid w:val="0080466C"/>
    <w:rsid w:val="0080626B"/>
    <w:rsid w:val="0081007B"/>
    <w:rsid w:val="00812A01"/>
    <w:rsid w:val="00820613"/>
    <w:rsid w:val="008279C2"/>
    <w:rsid w:val="008340EC"/>
    <w:rsid w:val="00837B60"/>
    <w:rsid w:val="0084741A"/>
    <w:rsid w:val="00865497"/>
    <w:rsid w:val="0086566E"/>
    <w:rsid w:val="00866C09"/>
    <w:rsid w:val="00871C9F"/>
    <w:rsid w:val="00875911"/>
    <w:rsid w:val="0088024A"/>
    <w:rsid w:val="008967C1"/>
    <w:rsid w:val="00896811"/>
    <w:rsid w:val="008A2573"/>
    <w:rsid w:val="008B03BD"/>
    <w:rsid w:val="008B23E1"/>
    <w:rsid w:val="008B5FC2"/>
    <w:rsid w:val="008C2225"/>
    <w:rsid w:val="008D085F"/>
    <w:rsid w:val="008E43E3"/>
    <w:rsid w:val="008E4B76"/>
    <w:rsid w:val="008F65CD"/>
    <w:rsid w:val="008F7A97"/>
    <w:rsid w:val="008F7FAA"/>
    <w:rsid w:val="00900DF0"/>
    <w:rsid w:val="00901209"/>
    <w:rsid w:val="00901274"/>
    <w:rsid w:val="0090298D"/>
    <w:rsid w:val="00904C83"/>
    <w:rsid w:val="00906275"/>
    <w:rsid w:val="009071D4"/>
    <w:rsid w:val="009071F8"/>
    <w:rsid w:val="00913500"/>
    <w:rsid w:val="00913E22"/>
    <w:rsid w:val="00917DCA"/>
    <w:rsid w:val="00931790"/>
    <w:rsid w:val="0093272F"/>
    <w:rsid w:val="00936127"/>
    <w:rsid w:val="0093613E"/>
    <w:rsid w:val="009424B6"/>
    <w:rsid w:val="00943722"/>
    <w:rsid w:val="00943D55"/>
    <w:rsid w:val="009509CA"/>
    <w:rsid w:val="00953949"/>
    <w:rsid w:val="009559DE"/>
    <w:rsid w:val="00957420"/>
    <w:rsid w:val="00960C09"/>
    <w:rsid w:val="00961207"/>
    <w:rsid w:val="00963793"/>
    <w:rsid w:val="00966F13"/>
    <w:rsid w:val="00967C4B"/>
    <w:rsid w:val="00972025"/>
    <w:rsid w:val="0097283E"/>
    <w:rsid w:val="00972E63"/>
    <w:rsid w:val="00980D46"/>
    <w:rsid w:val="0098294A"/>
    <w:rsid w:val="00983D0B"/>
    <w:rsid w:val="009879B8"/>
    <w:rsid w:val="00993DBE"/>
    <w:rsid w:val="009945E2"/>
    <w:rsid w:val="00996A79"/>
    <w:rsid w:val="009A13A2"/>
    <w:rsid w:val="009A2E4C"/>
    <w:rsid w:val="009A332B"/>
    <w:rsid w:val="009A33E3"/>
    <w:rsid w:val="009A3CA7"/>
    <w:rsid w:val="009A4704"/>
    <w:rsid w:val="009A4885"/>
    <w:rsid w:val="009A7741"/>
    <w:rsid w:val="009B4394"/>
    <w:rsid w:val="009B492B"/>
    <w:rsid w:val="009C11A9"/>
    <w:rsid w:val="009C23A4"/>
    <w:rsid w:val="009C71CB"/>
    <w:rsid w:val="009D0781"/>
    <w:rsid w:val="009D5224"/>
    <w:rsid w:val="009D556C"/>
    <w:rsid w:val="009F0BA6"/>
    <w:rsid w:val="009F1ABC"/>
    <w:rsid w:val="009F4817"/>
    <w:rsid w:val="009F7A0A"/>
    <w:rsid w:val="00A0525C"/>
    <w:rsid w:val="00A112C6"/>
    <w:rsid w:val="00A1322B"/>
    <w:rsid w:val="00A14265"/>
    <w:rsid w:val="00A1597B"/>
    <w:rsid w:val="00A1749B"/>
    <w:rsid w:val="00A17684"/>
    <w:rsid w:val="00A17CDC"/>
    <w:rsid w:val="00A21B75"/>
    <w:rsid w:val="00A27030"/>
    <w:rsid w:val="00A30C4F"/>
    <w:rsid w:val="00A33080"/>
    <w:rsid w:val="00A377E3"/>
    <w:rsid w:val="00A43DE1"/>
    <w:rsid w:val="00A44B13"/>
    <w:rsid w:val="00A608A0"/>
    <w:rsid w:val="00A60A53"/>
    <w:rsid w:val="00A632BA"/>
    <w:rsid w:val="00A64165"/>
    <w:rsid w:val="00A70F28"/>
    <w:rsid w:val="00A73AF5"/>
    <w:rsid w:val="00A76201"/>
    <w:rsid w:val="00A82424"/>
    <w:rsid w:val="00A84D58"/>
    <w:rsid w:val="00A854A8"/>
    <w:rsid w:val="00A948FB"/>
    <w:rsid w:val="00AA1696"/>
    <w:rsid w:val="00AA52FE"/>
    <w:rsid w:val="00AB02E7"/>
    <w:rsid w:val="00AB1B07"/>
    <w:rsid w:val="00AB378A"/>
    <w:rsid w:val="00AC28EF"/>
    <w:rsid w:val="00AC679D"/>
    <w:rsid w:val="00AC6CDC"/>
    <w:rsid w:val="00AC7A3F"/>
    <w:rsid w:val="00AD2903"/>
    <w:rsid w:val="00AD67ED"/>
    <w:rsid w:val="00AD6A8B"/>
    <w:rsid w:val="00AD6ED4"/>
    <w:rsid w:val="00AE1098"/>
    <w:rsid w:val="00AE3745"/>
    <w:rsid w:val="00AF3E85"/>
    <w:rsid w:val="00AF576F"/>
    <w:rsid w:val="00B20CB2"/>
    <w:rsid w:val="00B21BD1"/>
    <w:rsid w:val="00B26316"/>
    <w:rsid w:val="00B32C39"/>
    <w:rsid w:val="00B36263"/>
    <w:rsid w:val="00B37151"/>
    <w:rsid w:val="00B40E3E"/>
    <w:rsid w:val="00B41CFE"/>
    <w:rsid w:val="00B437C5"/>
    <w:rsid w:val="00B515DE"/>
    <w:rsid w:val="00B57AEE"/>
    <w:rsid w:val="00B61542"/>
    <w:rsid w:val="00B64D74"/>
    <w:rsid w:val="00B65FF0"/>
    <w:rsid w:val="00B70E1C"/>
    <w:rsid w:val="00B74E5C"/>
    <w:rsid w:val="00B80624"/>
    <w:rsid w:val="00B82D61"/>
    <w:rsid w:val="00B82D8B"/>
    <w:rsid w:val="00B8469B"/>
    <w:rsid w:val="00B85950"/>
    <w:rsid w:val="00B90899"/>
    <w:rsid w:val="00B91FC0"/>
    <w:rsid w:val="00B9319A"/>
    <w:rsid w:val="00BA282D"/>
    <w:rsid w:val="00BA5FF8"/>
    <w:rsid w:val="00BA7975"/>
    <w:rsid w:val="00BB05E7"/>
    <w:rsid w:val="00BB1930"/>
    <w:rsid w:val="00BB77E5"/>
    <w:rsid w:val="00BC5366"/>
    <w:rsid w:val="00BD2E20"/>
    <w:rsid w:val="00BE5D4D"/>
    <w:rsid w:val="00BE65D7"/>
    <w:rsid w:val="00BE6ACB"/>
    <w:rsid w:val="00BE7D96"/>
    <w:rsid w:val="00BF0B82"/>
    <w:rsid w:val="00BF31DF"/>
    <w:rsid w:val="00C00268"/>
    <w:rsid w:val="00C0625B"/>
    <w:rsid w:val="00C07109"/>
    <w:rsid w:val="00C0737A"/>
    <w:rsid w:val="00C07808"/>
    <w:rsid w:val="00C109F4"/>
    <w:rsid w:val="00C10AA8"/>
    <w:rsid w:val="00C1197C"/>
    <w:rsid w:val="00C13252"/>
    <w:rsid w:val="00C1455D"/>
    <w:rsid w:val="00C14BC0"/>
    <w:rsid w:val="00C15BDF"/>
    <w:rsid w:val="00C20393"/>
    <w:rsid w:val="00C32212"/>
    <w:rsid w:val="00C4500E"/>
    <w:rsid w:val="00C46FE1"/>
    <w:rsid w:val="00C5498B"/>
    <w:rsid w:val="00C56B68"/>
    <w:rsid w:val="00C603C2"/>
    <w:rsid w:val="00C61237"/>
    <w:rsid w:val="00C72E85"/>
    <w:rsid w:val="00C72FF7"/>
    <w:rsid w:val="00C811CD"/>
    <w:rsid w:val="00C82319"/>
    <w:rsid w:val="00C83DFA"/>
    <w:rsid w:val="00C859E3"/>
    <w:rsid w:val="00C870E0"/>
    <w:rsid w:val="00C90184"/>
    <w:rsid w:val="00C92D21"/>
    <w:rsid w:val="00C93D33"/>
    <w:rsid w:val="00C94659"/>
    <w:rsid w:val="00C96599"/>
    <w:rsid w:val="00C97E75"/>
    <w:rsid w:val="00CA1255"/>
    <w:rsid w:val="00CA3983"/>
    <w:rsid w:val="00CA70BC"/>
    <w:rsid w:val="00CA751B"/>
    <w:rsid w:val="00CA775A"/>
    <w:rsid w:val="00CB2324"/>
    <w:rsid w:val="00CB72D5"/>
    <w:rsid w:val="00CB7A4F"/>
    <w:rsid w:val="00CB7B53"/>
    <w:rsid w:val="00CC1298"/>
    <w:rsid w:val="00CC32BA"/>
    <w:rsid w:val="00CC5516"/>
    <w:rsid w:val="00CD3091"/>
    <w:rsid w:val="00CD79D6"/>
    <w:rsid w:val="00CE516A"/>
    <w:rsid w:val="00CE6C8C"/>
    <w:rsid w:val="00CF3CF0"/>
    <w:rsid w:val="00CF69AF"/>
    <w:rsid w:val="00D036AF"/>
    <w:rsid w:val="00D10E16"/>
    <w:rsid w:val="00D16650"/>
    <w:rsid w:val="00D1677B"/>
    <w:rsid w:val="00D30DF2"/>
    <w:rsid w:val="00D31502"/>
    <w:rsid w:val="00D316CA"/>
    <w:rsid w:val="00D323F7"/>
    <w:rsid w:val="00D43E77"/>
    <w:rsid w:val="00D4402F"/>
    <w:rsid w:val="00D47A6A"/>
    <w:rsid w:val="00D55B7A"/>
    <w:rsid w:val="00D55E01"/>
    <w:rsid w:val="00D7098E"/>
    <w:rsid w:val="00D7135A"/>
    <w:rsid w:val="00D7317D"/>
    <w:rsid w:val="00D751DC"/>
    <w:rsid w:val="00D81E61"/>
    <w:rsid w:val="00D878D1"/>
    <w:rsid w:val="00D918CB"/>
    <w:rsid w:val="00D91ABB"/>
    <w:rsid w:val="00D93A3A"/>
    <w:rsid w:val="00D96ABC"/>
    <w:rsid w:val="00DB0099"/>
    <w:rsid w:val="00DC2F9A"/>
    <w:rsid w:val="00DD0BF4"/>
    <w:rsid w:val="00DD108A"/>
    <w:rsid w:val="00DD5F26"/>
    <w:rsid w:val="00DE62E8"/>
    <w:rsid w:val="00DF1BB1"/>
    <w:rsid w:val="00DF29E0"/>
    <w:rsid w:val="00DF659A"/>
    <w:rsid w:val="00E0088E"/>
    <w:rsid w:val="00E00E2D"/>
    <w:rsid w:val="00E03233"/>
    <w:rsid w:val="00E033CE"/>
    <w:rsid w:val="00E05A65"/>
    <w:rsid w:val="00E07949"/>
    <w:rsid w:val="00E15128"/>
    <w:rsid w:val="00E21A89"/>
    <w:rsid w:val="00E3531E"/>
    <w:rsid w:val="00E359B3"/>
    <w:rsid w:val="00E42211"/>
    <w:rsid w:val="00E43180"/>
    <w:rsid w:val="00E4750A"/>
    <w:rsid w:val="00E53CAC"/>
    <w:rsid w:val="00E53F5B"/>
    <w:rsid w:val="00E62ECE"/>
    <w:rsid w:val="00E63447"/>
    <w:rsid w:val="00E64C51"/>
    <w:rsid w:val="00E65DB7"/>
    <w:rsid w:val="00E74E4C"/>
    <w:rsid w:val="00E809F9"/>
    <w:rsid w:val="00E83C1D"/>
    <w:rsid w:val="00E84896"/>
    <w:rsid w:val="00E85480"/>
    <w:rsid w:val="00E855E2"/>
    <w:rsid w:val="00E968F7"/>
    <w:rsid w:val="00EA06DF"/>
    <w:rsid w:val="00EA39AB"/>
    <w:rsid w:val="00EB3DEA"/>
    <w:rsid w:val="00EB3E51"/>
    <w:rsid w:val="00EC5B39"/>
    <w:rsid w:val="00ED2574"/>
    <w:rsid w:val="00ED2F93"/>
    <w:rsid w:val="00ED412A"/>
    <w:rsid w:val="00ED6CFF"/>
    <w:rsid w:val="00EE2864"/>
    <w:rsid w:val="00EE3CB2"/>
    <w:rsid w:val="00EE5D6A"/>
    <w:rsid w:val="00EE79EF"/>
    <w:rsid w:val="00EF0BC7"/>
    <w:rsid w:val="00EF17EF"/>
    <w:rsid w:val="00F01E23"/>
    <w:rsid w:val="00F02F8D"/>
    <w:rsid w:val="00F03FCE"/>
    <w:rsid w:val="00F12DD3"/>
    <w:rsid w:val="00F17436"/>
    <w:rsid w:val="00F200AF"/>
    <w:rsid w:val="00F21086"/>
    <w:rsid w:val="00F2152A"/>
    <w:rsid w:val="00F217C3"/>
    <w:rsid w:val="00F24E6E"/>
    <w:rsid w:val="00F32FE1"/>
    <w:rsid w:val="00F3622B"/>
    <w:rsid w:val="00F3709C"/>
    <w:rsid w:val="00F37403"/>
    <w:rsid w:val="00F46761"/>
    <w:rsid w:val="00F5040F"/>
    <w:rsid w:val="00F54FD3"/>
    <w:rsid w:val="00F55BB2"/>
    <w:rsid w:val="00F56121"/>
    <w:rsid w:val="00F57E7D"/>
    <w:rsid w:val="00F612DB"/>
    <w:rsid w:val="00F61338"/>
    <w:rsid w:val="00F67CD9"/>
    <w:rsid w:val="00F705E7"/>
    <w:rsid w:val="00F80177"/>
    <w:rsid w:val="00F81A18"/>
    <w:rsid w:val="00F86DA7"/>
    <w:rsid w:val="00F903D6"/>
    <w:rsid w:val="00FA0A23"/>
    <w:rsid w:val="00FA713E"/>
    <w:rsid w:val="00FA7939"/>
    <w:rsid w:val="00FB598D"/>
    <w:rsid w:val="00FB74EA"/>
    <w:rsid w:val="00FC1E8C"/>
    <w:rsid w:val="00FC31EB"/>
    <w:rsid w:val="00FC4967"/>
    <w:rsid w:val="00FD18AB"/>
    <w:rsid w:val="00FD2212"/>
    <w:rsid w:val="00FD33E8"/>
    <w:rsid w:val="00FD4F53"/>
    <w:rsid w:val="00FE3BAC"/>
    <w:rsid w:val="00FE7686"/>
    <w:rsid w:val="00FF2C5C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E06D9C"/>
  <w15:docId w15:val="{4594FE06-ECCD-4B62-A0F4-18185FC30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Unresolved Mention"/>
    <w:basedOn w:val="a0"/>
    <w:uiPriority w:val="99"/>
    <w:semiHidden/>
    <w:unhideWhenUsed/>
    <w:rsid w:val="00F3709C"/>
    <w:rPr>
      <w:color w:val="605E5C"/>
      <w:shd w:val="clear" w:color="auto" w:fill="E1DFDD"/>
    </w:rPr>
  </w:style>
  <w:style w:type="character" w:styleId="ae">
    <w:name w:val="Placeholder Text"/>
    <w:basedOn w:val="a0"/>
    <w:uiPriority w:val="99"/>
    <w:semiHidden/>
    <w:rsid w:val="00473B1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0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ma.europa.eu/en/news/changes-use-antibiotic-azithromyci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mspiq.fda.gov.tw/web/DRPIQ/DRPIQLicSear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adr.fda.gov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269</TotalTime>
  <Pages>3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陳怡婷</cp:lastModifiedBy>
  <cp:revision>12</cp:revision>
  <cp:lastPrinted>2025-06-13T07:07:00Z</cp:lastPrinted>
  <dcterms:created xsi:type="dcterms:W3CDTF">2025-06-12T03:04:00Z</dcterms:created>
  <dcterms:modified xsi:type="dcterms:W3CDTF">2025-06-17T01:52:00Z</dcterms:modified>
</cp:coreProperties>
</file>