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136184" w:rsidTr="00812A01">
        <w:trPr>
          <w:trHeight w:val="333"/>
          <w:jc w:val="center"/>
        </w:trPr>
        <w:tc>
          <w:tcPr>
            <w:tcW w:w="9729" w:type="dxa"/>
            <w:gridSpan w:val="2"/>
            <w:tcBorders>
              <w:top w:val="nil"/>
              <w:left w:val="nil"/>
              <w:bottom w:val="nil"/>
              <w:right w:val="nil"/>
            </w:tcBorders>
            <w:vAlign w:val="center"/>
          </w:tcPr>
          <w:p w:rsidR="00211E09" w:rsidRPr="00F5040F" w:rsidRDefault="00467B82" w:rsidP="002411D0">
            <w:pPr>
              <w:pStyle w:val="1"/>
              <w:spacing w:before="0" w:beforeAutospacing="0" w:after="0" w:afterAutospacing="0" w:line="240" w:lineRule="atLeast"/>
              <w:jc w:val="center"/>
              <w:rPr>
                <w:rFonts w:ascii="Times New Roman" w:eastAsia="標楷體" w:hAnsi="Times New Roman" w:cs="Times New Roman"/>
                <w:sz w:val="36"/>
                <w:szCs w:val="36"/>
              </w:rPr>
            </w:pPr>
            <w:r>
              <w:rPr>
                <w:rFonts w:ascii="Times New Roman" w:eastAsia="標楷體" w:hAnsi="Times New Roman" w:cs="Times New Roman" w:hint="eastAsia"/>
                <w:sz w:val="36"/>
                <w:szCs w:val="36"/>
              </w:rPr>
              <w:t>血管內皮生長因子</w:t>
            </w:r>
            <w:r w:rsidR="004A31BB">
              <w:rPr>
                <w:rFonts w:ascii="Times New Roman" w:eastAsia="標楷體" w:hAnsi="Times New Roman" w:cs="Times New Roman" w:hint="eastAsia"/>
                <w:sz w:val="36"/>
                <w:szCs w:val="36"/>
              </w:rPr>
              <w:t>路徑</w:t>
            </w:r>
            <w:r>
              <w:rPr>
                <w:rFonts w:ascii="Times New Roman" w:eastAsia="標楷體" w:hAnsi="Times New Roman" w:cs="Times New Roman" w:hint="eastAsia"/>
                <w:sz w:val="36"/>
                <w:szCs w:val="36"/>
              </w:rPr>
              <w:t>抑制劑</w:t>
            </w:r>
            <w:r w:rsidR="002411D0">
              <w:rPr>
                <w:rFonts w:ascii="Times New Roman" w:eastAsia="標楷體" w:hAnsi="Times New Roman" w:cs="Times New Roman" w:hint="eastAsia"/>
                <w:sz w:val="36"/>
                <w:szCs w:val="36"/>
              </w:rPr>
              <w:t>類</w:t>
            </w:r>
            <w:r w:rsidR="003C3491" w:rsidRPr="00F5040F">
              <w:rPr>
                <w:rFonts w:ascii="Times New Roman" w:eastAsia="標楷體" w:hAnsi="Times New Roman" w:cs="Times New Roman"/>
                <w:sz w:val="36"/>
                <w:szCs w:val="36"/>
              </w:rPr>
              <w:t>藥品</w:t>
            </w:r>
            <w:r w:rsidR="003C3491" w:rsidRPr="00F5040F">
              <w:rPr>
                <w:rFonts w:ascii="Times New Roman" w:eastAsia="標楷體" w:hAnsi="標楷體" w:cs="Times New Roman"/>
                <w:sz w:val="36"/>
                <w:szCs w:val="36"/>
              </w:rPr>
              <w:t>安全資訊風險溝通表</w:t>
            </w:r>
          </w:p>
        </w:tc>
      </w:tr>
      <w:tr w:rsidR="00211E09" w:rsidRPr="00136184" w:rsidTr="00812A01">
        <w:trPr>
          <w:trHeight w:val="333"/>
          <w:jc w:val="center"/>
        </w:trPr>
        <w:tc>
          <w:tcPr>
            <w:tcW w:w="9729" w:type="dxa"/>
            <w:gridSpan w:val="2"/>
            <w:tcBorders>
              <w:top w:val="nil"/>
              <w:left w:val="nil"/>
              <w:right w:val="nil"/>
            </w:tcBorders>
            <w:vAlign w:val="center"/>
          </w:tcPr>
          <w:p w:rsidR="00211E09" w:rsidRPr="00A27030" w:rsidRDefault="00211E09" w:rsidP="00467B82">
            <w:pPr>
              <w:pStyle w:val="1"/>
              <w:spacing w:before="0" w:beforeAutospacing="0" w:after="0" w:afterAutospacing="0" w:line="240" w:lineRule="atLeast"/>
              <w:jc w:val="right"/>
              <w:rPr>
                <w:rFonts w:ascii="Times New Roman" w:eastAsia="標楷體" w:hAnsi="Times New Roman" w:cs="Times New Roman"/>
                <w:b w:val="0"/>
                <w:sz w:val="24"/>
                <w:szCs w:val="24"/>
              </w:rPr>
            </w:pPr>
            <w:r w:rsidRPr="00A27030">
              <w:rPr>
                <w:rFonts w:ascii="Times New Roman" w:eastAsia="標楷體" w:hAnsi="Times New Roman" w:cs="Times New Roman"/>
                <w:sz w:val="24"/>
                <w:szCs w:val="24"/>
              </w:rPr>
              <w:t xml:space="preserve">  </w:t>
            </w:r>
            <w:r w:rsidR="00B32C39" w:rsidRPr="00B32C39">
              <w:rPr>
                <w:rFonts w:ascii="Times New Roman" w:eastAsia="標楷體" w:hAnsi="Times New Roman" w:cs="Times New Roman" w:hint="eastAsia"/>
                <w:b w:val="0"/>
                <w:sz w:val="24"/>
                <w:szCs w:val="24"/>
              </w:rPr>
              <w:t>製表</w:t>
            </w:r>
            <w:r w:rsidRPr="00A27030">
              <w:rPr>
                <w:rFonts w:ascii="Times New Roman" w:eastAsia="標楷體" w:hAnsi="標楷體" w:cs="Times New Roman" w:hint="eastAsia"/>
                <w:b w:val="0"/>
                <w:sz w:val="24"/>
                <w:szCs w:val="24"/>
              </w:rPr>
              <w:t>日期：</w:t>
            </w:r>
            <w:r w:rsidR="005C01FA">
              <w:rPr>
                <w:rFonts w:ascii="Times New Roman" w:eastAsia="標楷體" w:hAnsi="標楷體" w:cs="Times New Roman" w:hint="eastAsia"/>
                <w:b w:val="0"/>
                <w:sz w:val="24"/>
                <w:szCs w:val="24"/>
              </w:rPr>
              <w:t>109/8</w:t>
            </w:r>
          </w:p>
        </w:tc>
      </w:tr>
      <w:tr w:rsidR="00211E09" w:rsidRPr="00136184" w:rsidTr="00CB2324">
        <w:trPr>
          <w:trHeight w:val="333"/>
          <w:jc w:val="center"/>
        </w:trPr>
        <w:tc>
          <w:tcPr>
            <w:tcW w:w="2413" w:type="dxa"/>
            <w:vAlign w:val="center"/>
          </w:tcPr>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藥品成分</w:t>
            </w:r>
          </w:p>
        </w:tc>
        <w:tc>
          <w:tcPr>
            <w:tcW w:w="7316" w:type="dxa"/>
          </w:tcPr>
          <w:p w:rsidR="00366A78" w:rsidRPr="009C62C5" w:rsidRDefault="00366A78" w:rsidP="00E70EF8">
            <w:pPr>
              <w:pStyle w:val="Default"/>
              <w:rPr>
                <w:rFonts w:ascii="Times New Roman" w:eastAsia="標楷體" w:cs="Times New Roman"/>
                <w:bCs/>
                <w:color w:val="000000" w:themeColor="text1"/>
                <w:kern w:val="36"/>
                <w:lang w:bidi="hi-IN"/>
              </w:rPr>
            </w:pPr>
            <w:r>
              <w:rPr>
                <w:rFonts w:ascii="Times New Roman" w:eastAsia="標楷體" w:cs="Times New Roman" w:hint="eastAsia"/>
                <w:bCs/>
                <w:color w:val="000000" w:themeColor="text1"/>
                <w:kern w:val="36"/>
                <w:lang w:bidi="hi-IN"/>
              </w:rPr>
              <w:t>血管內皮生長因子</w:t>
            </w:r>
            <w:r w:rsidR="004A31BB">
              <w:rPr>
                <w:rFonts w:ascii="Times New Roman" w:eastAsia="標楷體" w:cs="Times New Roman" w:hint="eastAsia"/>
                <w:bCs/>
                <w:color w:val="000000" w:themeColor="text1"/>
                <w:kern w:val="36"/>
                <w:lang w:bidi="hi-IN"/>
              </w:rPr>
              <w:t>路徑</w:t>
            </w:r>
            <w:r w:rsidRPr="00481B25">
              <w:rPr>
                <w:rFonts w:ascii="Times New Roman" w:eastAsia="標楷體" w:cs="Times New Roman" w:hint="eastAsia"/>
                <w:bCs/>
                <w:color w:val="000000" w:themeColor="text1"/>
                <w:kern w:val="36"/>
                <w:lang w:bidi="hi-IN"/>
              </w:rPr>
              <w:t>抑制</w:t>
            </w:r>
            <w:r w:rsidRPr="00481B25">
              <w:rPr>
                <w:rFonts w:ascii="Times New Roman" w:eastAsia="標楷體" w:cs="Times New Roman"/>
                <w:bCs/>
                <w:color w:val="000000" w:themeColor="text1"/>
                <w:kern w:val="36"/>
                <w:lang w:bidi="hi-IN"/>
              </w:rPr>
              <w:t>劑</w:t>
            </w:r>
            <w:r w:rsidRPr="00481B25">
              <w:rPr>
                <w:rFonts w:ascii="Times New Roman" w:eastAsia="標楷體" w:cs="Times New Roman"/>
                <w:bCs/>
                <w:kern w:val="36"/>
                <w:lang w:bidi="hi-IN"/>
              </w:rPr>
              <w:t>（</w:t>
            </w:r>
            <w:r w:rsidRPr="00481B25">
              <w:rPr>
                <w:rFonts w:ascii="Times New Roman" w:eastAsia="標楷體" w:cs="Times New Roman"/>
                <w:bCs/>
                <w:kern w:val="36"/>
                <w:lang w:bidi="hi-IN"/>
              </w:rPr>
              <w:t>vascular endothelial growth factor (VEGF) pathway inhibitors</w:t>
            </w:r>
            <w:r w:rsidRPr="00481B25">
              <w:rPr>
                <w:rFonts w:ascii="Times New Roman" w:eastAsia="標楷體" w:cs="Times New Roman"/>
                <w:bCs/>
                <w:kern w:val="36"/>
                <w:lang w:bidi="hi-IN"/>
              </w:rPr>
              <w:t>）</w:t>
            </w:r>
            <w:r w:rsidRPr="00481B25">
              <w:rPr>
                <w:rFonts w:ascii="Times New Roman" w:eastAsia="標楷體" w:cs="Times New Roman"/>
                <w:bCs/>
                <w:color w:val="000000" w:themeColor="text1"/>
                <w:kern w:val="36"/>
                <w:lang w:bidi="hi-IN"/>
              </w:rPr>
              <w:t>，包含</w:t>
            </w:r>
            <w:r w:rsidR="004A31BB" w:rsidRPr="00481B25">
              <w:rPr>
                <w:rFonts w:ascii="Times New Roman" w:eastAsia="標楷體" w:cs="Times New Roman"/>
                <w:bCs/>
                <w:color w:val="000000" w:themeColor="text1"/>
                <w:kern w:val="36"/>
                <w:lang w:bidi="hi-IN"/>
              </w:rPr>
              <w:t>bevacizumab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vandetanib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cabozantinib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ramucirumab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tivozanib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ponatinib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axitinib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lenvatinib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sorafenib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nintedanib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regorafenib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sunitinib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pazopanib</w:t>
            </w:r>
            <w:r w:rsidR="004A31BB" w:rsidRPr="00481B25">
              <w:rPr>
                <w:rFonts w:ascii="Times New Roman" w:eastAsia="標楷體" w:cs="Times New Roman"/>
                <w:bCs/>
                <w:color w:val="000000" w:themeColor="text1"/>
                <w:kern w:val="36"/>
                <w:lang w:bidi="hi-IN"/>
              </w:rPr>
              <w:t>、</w:t>
            </w:r>
            <w:r w:rsidR="004A31BB" w:rsidRPr="00481B25">
              <w:rPr>
                <w:rFonts w:ascii="Times New Roman" w:eastAsia="標楷體" w:cs="Times New Roman"/>
                <w:bCs/>
                <w:color w:val="000000" w:themeColor="text1"/>
                <w:kern w:val="36"/>
                <w:lang w:bidi="hi-IN"/>
              </w:rPr>
              <w:t>aflibercept</w:t>
            </w:r>
            <w:r w:rsidR="004A31BB" w:rsidRPr="00481B25">
              <w:rPr>
                <w:rFonts w:ascii="Times New Roman" w:eastAsia="標楷體" w:cs="Times New Roman"/>
                <w:bCs/>
                <w:color w:val="000000" w:themeColor="text1"/>
                <w:kern w:val="36"/>
                <w:lang w:bidi="hi-IN"/>
              </w:rPr>
              <w:t>。</w:t>
            </w:r>
          </w:p>
        </w:tc>
      </w:tr>
      <w:tr w:rsidR="00211E09" w:rsidRPr="00136184" w:rsidTr="00CB2324">
        <w:trPr>
          <w:trHeight w:val="333"/>
          <w:jc w:val="center"/>
        </w:trPr>
        <w:tc>
          <w:tcPr>
            <w:tcW w:w="2413" w:type="dxa"/>
            <w:vAlign w:val="center"/>
          </w:tcPr>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藥品名稱</w:t>
            </w:r>
          </w:p>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及許可證字號</w:t>
            </w:r>
          </w:p>
        </w:tc>
        <w:tc>
          <w:tcPr>
            <w:tcW w:w="7316" w:type="dxa"/>
          </w:tcPr>
          <w:p w:rsidR="0017168C" w:rsidRPr="00481B25" w:rsidRDefault="0017168C" w:rsidP="00270A1F">
            <w:pPr>
              <w:pStyle w:val="1"/>
              <w:spacing w:before="0" w:beforeAutospacing="0" w:after="0" w:afterAutospacing="0" w:line="240" w:lineRule="atLeast"/>
              <w:rPr>
                <w:rFonts w:ascii="Times New Roman" w:eastAsia="標楷體" w:hAnsi="Times New Roman" w:cs="Times New Roman"/>
                <w:b w:val="0"/>
                <w:color w:val="000000" w:themeColor="text1"/>
                <w:sz w:val="24"/>
                <w:szCs w:val="24"/>
              </w:rPr>
            </w:pPr>
            <w:r w:rsidRPr="002F199C">
              <w:rPr>
                <w:rFonts w:ascii="Times New Roman" w:eastAsia="標楷體" w:hAnsi="標楷體" w:cs="Times New Roman"/>
                <w:b w:val="0"/>
                <w:bCs w:val="0"/>
                <w:color w:val="000000" w:themeColor="text1"/>
                <w:sz w:val="24"/>
                <w:szCs w:val="24"/>
              </w:rPr>
              <w:t>衛生</w:t>
            </w:r>
            <w:r w:rsidRPr="009C62C5">
              <w:rPr>
                <w:rFonts w:ascii="Times New Roman" w:eastAsia="標楷體" w:hAnsi="Times New Roman" w:cs="Times New Roman"/>
                <w:b w:val="0"/>
                <w:color w:val="000000" w:themeColor="text1"/>
                <w:sz w:val="24"/>
                <w:szCs w:val="24"/>
              </w:rPr>
              <w:t>福利部核准</w:t>
            </w:r>
            <w:r w:rsidRPr="00481B25">
              <w:rPr>
                <w:rFonts w:ascii="Times New Roman" w:eastAsia="標楷體" w:hAnsi="Times New Roman" w:cs="Times New Roman"/>
                <w:b w:val="0"/>
                <w:color w:val="000000" w:themeColor="text1"/>
                <w:sz w:val="24"/>
                <w:szCs w:val="24"/>
              </w:rPr>
              <w:t>含</w:t>
            </w:r>
            <w:r w:rsidR="00481B25" w:rsidRPr="00481B25">
              <w:rPr>
                <w:rFonts w:ascii="Times New Roman" w:eastAsia="標楷體" w:hAnsi="Times New Roman" w:cs="Times New Roman"/>
                <w:b w:val="0"/>
                <w:bCs w:val="0"/>
                <w:color w:val="000000" w:themeColor="text1"/>
                <w:sz w:val="24"/>
                <w:szCs w:val="24"/>
              </w:rPr>
              <w:t>bevacizumab</w:t>
            </w:r>
            <w:r w:rsidRPr="00481B25">
              <w:rPr>
                <w:rFonts w:ascii="Times New Roman" w:eastAsia="標楷體" w:hAnsi="Times New Roman" w:cs="Times New Roman" w:hint="eastAsia"/>
                <w:b w:val="0"/>
                <w:color w:val="000000" w:themeColor="text1"/>
                <w:sz w:val="24"/>
                <w:szCs w:val="24"/>
              </w:rPr>
              <w:t>成分</w:t>
            </w:r>
            <w:r w:rsidRPr="009C62C5">
              <w:rPr>
                <w:rFonts w:ascii="Times New Roman" w:eastAsia="標楷體" w:hAnsi="Times New Roman" w:cs="Times New Roman"/>
                <w:b w:val="0"/>
                <w:color w:val="000000" w:themeColor="text1"/>
                <w:sz w:val="24"/>
                <w:szCs w:val="24"/>
              </w:rPr>
              <w:t>藥品製劑許可證共</w:t>
            </w:r>
            <w:r w:rsidR="00793032" w:rsidRPr="00481B25">
              <w:rPr>
                <w:rFonts w:ascii="Times New Roman" w:eastAsia="標楷體" w:hAnsi="Times New Roman" w:cs="Times New Roman" w:hint="eastAsia"/>
                <w:b w:val="0"/>
                <w:color w:val="000000" w:themeColor="text1"/>
                <w:sz w:val="24"/>
                <w:szCs w:val="24"/>
                <w:u w:val="single"/>
              </w:rPr>
              <w:t>2</w:t>
            </w:r>
            <w:r w:rsidRPr="009C62C5">
              <w:rPr>
                <w:rFonts w:ascii="Times New Roman" w:eastAsia="標楷體" w:hAnsi="Times New Roman" w:cs="Times New Roman"/>
                <w:b w:val="0"/>
                <w:color w:val="000000" w:themeColor="text1"/>
                <w:sz w:val="24"/>
                <w:szCs w:val="24"/>
              </w:rPr>
              <w:t>張</w:t>
            </w:r>
            <w:r w:rsidR="00481B25">
              <w:rPr>
                <w:rFonts w:ascii="Times New Roman" w:eastAsia="標楷體" w:hAnsi="Times New Roman" w:cs="Times New Roman" w:hint="eastAsia"/>
                <w:b w:val="0"/>
                <w:color w:val="000000" w:themeColor="text1"/>
                <w:sz w:val="24"/>
                <w:szCs w:val="24"/>
              </w:rPr>
              <w:t>；</w:t>
            </w:r>
            <w:r w:rsidR="00481B25" w:rsidRPr="006945FA">
              <w:rPr>
                <w:rFonts w:ascii="Times New Roman" w:eastAsia="標楷體" w:hAnsi="Times New Roman" w:cs="Times New Roman"/>
                <w:b w:val="0"/>
                <w:color w:val="000000" w:themeColor="text1"/>
                <w:sz w:val="24"/>
                <w:szCs w:val="24"/>
              </w:rPr>
              <w:t>含</w:t>
            </w:r>
            <w:r w:rsidR="00481B25" w:rsidRPr="006945FA">
              <w:rPr>
                <w:rFonts w:ascii="Times New Roman" w:eastAsia="標楷體" w:hAnsi="Times New Roman" w:cs="Times New Roman"/>
                <w:b w:val="0"/>
                <w:bCs w:val="0"/>
                <w:color w:val="000000" w:themeColor="text1"/>
                <w:sz w:val="24"/>
                <w:szCs w:val="24"/>
              </w:rPr>
              <w:t>vandetanib</w:t>
            </w:r>
            <w:r w:rsidR="00481B25" w:rsidRPr="006945FA">
              <w:rPr>
                <w:rFonts w:ascii="Times New Roman" w:eastAsia="標楷體" w:hAnsi="Times New Roman" w:cs="Times New Roman" w:hint="eastAsia"/>
                <w:b w:val="0"/>
                <w:color w:val="000000" w:themeColor="text1"/>
                <w:sz w:val="24"/>
                <w:szCs w:val="24"/>
              </w:rPr>
              <w:t>成分</w:t>
            </w:r>
            <w:r w:rsidR="00481B25" w:rsidRPr="006945FA">
              <w:rPr>
                <w:rFonts w:ascii="Times New Roman" w:eastAsia="標楷體" w:hAnsi="Times New Roman" w:cs="Times New Roman"/>
                <w:b w:val="0"/>
                <w:color w:val="000000" w:themeColor="text1"/>
                <w:sz w:val="24"/>
                <w:szCs w:val="24"/>
              </w:rPr>
              <w:t>藥品製劑許可證共</w:t>
            </w:r>
            <w:r w:rsidR="00481B25" w:rsidRPr="006945FA">
              <w:rPr>
                <w:rFonts w:ascii="Times New Roman" w:eastAsia="標楷體" w:hAnsi="Times New Roman" w:cs="Times New Roman" w:hint="eastAsia"/>
                <w:b w:val="0"/>
                <w:color w:val="000000" w:themeColor="text1"/>
                <w:sz w:val="24"/>
                <w:szCs w:val="24"/>
                <w:u w:val="single"/>
              </w:rPr>
              <w:t>2</w:t>
            </w:r>
            <w:r w:rsidR="00481B25" w:rsidRPr="006945FA">
              <w:rPr>
                <w:rFonts w:ascii="Times New Roman" w:eastAsia="標楷體" w:hAnsi="Times New Roman" w:cs="Times New Roman"/>
                <w:b w:val="0"/>
                <w:color w:val="000000" w:themeColor="text1"/>
                <w:sz w:val="24"/>
                <w:szCs w:val="24"/>
              </w:rPr>
              <w:t>張</w:t>
            </w:r>
            <w:r w:rsidR="00481B25" w:rsidRPr="006945FA">
              <w:rPr>
                <w:rFonts w:ascii="Times New Roman" w:eastAsia="標楷體" w:hAnsi="Times New Roman" w:cs="Times New Roman" w:hint="eastAsia"/>
                <w:b w:val="0"/>
                <w:color w:val="000000" w:themeColor="text1"/>
                <w:sz w:val="24"/>
                <w:szCs w:val="24"/>
              </w:rPr>
              <w:t>；</w:t>
            </w:r>
            <w:r w:rsidR="00481B25" w:rsidRPr="006945FA">
              <w:rPr>
                <w:rFonts w:ascii="Times New Roman" w:eastAsia="標楷體" w:hAnsi="Times New Roman" w:cs="Times New Roman"/>
                <w:b w:val="0"/>
                <w:color w:val="000000" w:themeColor="text1"/>
                <w:sz w:val="24"/>
                <w:szCs w:val="24"/>
              </w:rPr>
              <w:t>含</w:t>
            </w:r>
            <w:r w:rsidR="00481B25" w:rsidRPr="006945FA">
              <w:rPr>
                <w:rFonts w:ascii="Times New Roman" w:eastAsia="標楷體" w:hAnsi="Times New Roman" w:cs="Times New Roman"/>
                <w:b w:val="0"/>
                <w:bCs w:val="0"/>
                <w:color w:val="000000" w:themeColor="text1"/>
                <w:sz w:val="24"/>
                <w:szCs w:val="24"/>
              </w:rPr>
              <w:t>cabozantinib</w:t>
            </w:r>
            <w:r w:rsidR="00481B25" w:rsidRPr="006945FA">
              <w:rPr>
                <w:rFonts w:ascii="Times New Roman" w:eastAsia="標楷體" w:hAnsi="Times New Roman" w:cs="Times New Roman" w:hint="eastAsia"/>
                <w:b w:val="0"/>
                <w:color w:val="000000" w:themeColor="text1"/>
                <w:sz w:val="24"/>
                <w:szCs w:val="24"/>
              </w:rPr>
              <w:t>成分</w:t>
            </w:r>
            <w:r w:rsidR="00481B25" w:rsidRPr="006945FA">
              <w:rPr>
                <w:rFonts w:ascii="Times New Roman" w:eastAsia="標楷體" w:hAnsi="Times New Roman" w:cs="Times New Roman"/>
                <w:b w:val="0"/>
                <w:color w:val="000000" w:themeColor="text1"/>
                <w:sz w:val="24"/>
                <w:szCs w:val="24"/>
              </w:rPr>
              <w:t>藥品製劑許可證共</w:t>
            </w:r>
            <w:r w:rsidR="00481B25" w:rsidRPr="006945FA">
              <w:rPr>
                <w:rFonts w:ascii="Times New Roman" w:eastAsia="標楷體" w:hAnsi="Times New Roman" w:cs="Times New Roman" w:hint="eastAsia"/>
                <w:b w:val="0"/>
                <w:color w:val="000000" w:themeColor="text1"/>
                <w:sz w:val="24"/>
                <w:szCs w:val="24"/>
                <w:u w:val="single"/>
              </w:rPr>
              <w:t>3</w:t>
            </w:r>
            <w:r w:rsidR="00481B25" w:rsidRPr="006945FA">
              <w:rPr>
                <w:rFonts w:ascii="Times New Roman" w:eastAsia="標楷體" w:hAnsi="Times New Roman" w:cs="Times New Roman"/>
                <w:b w:val="0"/>
                <w:color w:val="000000" w:themeColor="text1"/>
                <w:sz w:val="24"/>
                <w:szCs w:val="24"/>
              </w:rPr>
              <w:t>張</w:t>
            </w:r>
            <w:r w:rsidR="00481B25" w:rsidRPr="006945FA">
              <w:rPr>
                <w:rFonts w:ascii="Times New Roman" w:eastAsia="標楷體" w:hAnsi="Times New Roman" w:cs="Times New Roman" w:hint="eastAsia"/>
                <w:b w:val="0"/>
                <w:color w:val="000000" w:themeColor="text1"/>
                <w:sz w:val="24"/>
                <w:szCs w:val="24"/>
              </w:rPr>
              <w:t>；</w:t>
            </w:r>
            <w:r w:rsidR="00481B25" w:rsidRPr="006945FA">
              <w:rPr>
                <w:rFonts w:ascii="Times New Roman" w:eastAsia="標楷體" w:hAnsi="Times New Roman" w:cs="Times New Roman"/>
                <w:b w:val="0"/>
                <w:color w:val="000000" w:themeColor="text1"/>
                <w:sz w:val="24"/>
                <w:szCs w:val="24"/>
              </w:rPr>
              <w:t>含</w:t>
            </w:r>
            <w:r w:rsidR="00481B25" w:rsidRPr="006945FA">
              <w:rPr>
                <w:rFonts w:ascii="Times New Roman" w:eastAsia="標楷體" w:hAnsi="Times New Roman" w:cs="Times New Roman"/>
                <w:b w:val="0"/>
                <w:bCs w:val="0"/>
                <w:color w:val="000000" w:themeColor="text1"/>
                <w:sz w:val="24"/>
                <w:szCs w:val="24"/>
              </w:rPr>
              <w:t>ramucirumab</w:t>
            </w:r>
            <w:r w:rsidR="00481B25" w:rsidRPr="006945FA">
              <w:rPr>
                <w:rFonts w:ascii="Times New Roman" w:eastAsia="標楷體" w:hAnsi="Times New Roman" w:cs="Times New Roman" w:hint="eastAsia"/>
                <w:b w:val="0"/>
                <w:color w:val="000000" w:themeColor="text1"/>
                <w:sz w:val="24"/>
                <w:szCs w:val="24"/>
              </w:rPr>
              <w:t>成分</w:t>
            </w:r>
            <w:r w:rsidR="00481B25" w:rsidRPr="006945FA">
              <w:rPr>
                <w:rFonts w:ascii="Times New Roman" w:eastAsia="標楷體" w:hAnsi="Times New Roman" w:cs="Times New Roman"/>
                <w:b w:val="0"/>
                <w:color w:val="000000" w:themeColor="text1"/>
                <w:sz w:val="24"/>
                <w:szCs w:val="24"/>
              </w:rPr>
              <w:t>藥品製劑許可證共</w:t>
            </w:r>
            <w:r w:rsidR="00481B25" w:rsidRPr="006945FA">
              <w:rPr>
                <w:rFonts w:ascii="Times New Roman" w:eastAsia="標楷體" w:hAnsi="Times New Roman" w:cs="Times New Roman" w:hint="eastAsia"/>
                <w:b w:val="0"/>
                <w:color w:val="000000" w:themeColor="text1"/>
                <w:sz w:val="24"/>
                <w:szCs w:val="24"/>
                <w:u w:val="single"/>
              </w:rPr>
              <w:t>1</w:t>
            </w:r>
            <w:r w:rsidR="00481B25" w:rsidRPr="006945FA">
              <w:rPr>
                <w:rFonts w:ascii="Times New Roman" w:eastAsia="標楷體" w:hAnsi="Times New Roman" w:cs="Times New Roman"/>
                <w:b w:val="0"/>
                <w:color w:val="000000" w:themeColor="text1"/>
                <w:sz w:val="24"/>
                <w:szCs w:val="24"/>
              </w:rPr>
              <w:t>張</w:t>
            </w:r>
            <w:r w:rsidR="00481B25" w:rsidRPr="006945FA">
              <w:rPr>
                <w:rFonts w:ascii="Times New Roman" w:eastAsia="標楷體" w:hAnsi="Times New Roman" w:cs="Times New Roman" w:hint="eastAsia"/>
                <w:b w:val="0"/>
                <w:color w:val="000000" w:themeColor="text1"/>
                <w:sz w:val="24"/>
                <w:szCs w:val="24"/>
              </w:rPr>
              <w:t>；</w:t>
            </w:r>
            <w:r w:rsidR="00481B25" w:rsidRPr="006945FA">
              <w:rPr>
                <w:rFonts w:ascii="Times New Roman" w:eastAsia="標楷體" w:hAnsi="Times New Roman" w:cs="Times New Roman"/>
                <w:b w:val="0"/>
                <w:color w:val="000000" w:themeColor="text1"/>
                <w:sz w:val="24"/>
                <w:szCs w:val="24"/>
              </w:rPr>
              <w:t>含</w:t>
            </w:r>
            <w:r w:rsidR="00481B25" w:rsidRPr="006945FA">
              <w:rPr>
                <w:rFonts w:ascii="Times New Roman" w:eastAsia="標楷體" w:hAnsi="Times New Roman" w:cs="Times New Roman"/>
                <w:b w:val="0"/>
                <w:bCs w:val="0"/>
                <w:sz w:val="24"/>
                <w:szCs w:val="24"/>
              </w:rPr>
              <w:t>ponatinib</w:t>
            </w:r>
            <w:r w:rsidR="00481B25" w:rsidRPr="006945FA">
              <w:rPr>
                <w:rFonts w:ascii="Times New Roman" w:eastAsia="標楷體" w:hAnsi="Times New Roman" w:cs="Times New Roman" w:hint="eastAsia"/>
                <w:b w:val="0"/>
                <w:color w:val="000000" w:themeColor="text1"/>
                <w:sz w:val="24"/>
                <w:szCs w:val="24"/>
              </w:rPr>
              <w:t>成分</w:t>
            </w:r>
            <w:r w:rsidR="00481B25" w:rsidRPr="006945FA">
              <w:rPr>
                <w:rFonts w:ascii="Times New Roman" w:eastAsia="標楷體" w:hAnsi="Times New Roman" w:cs="Times New Roman"/>
                <w:b w:val="0"/>
                <w:color w:val="000000" w:themeColor="text1"/>
                <w:sz w:val="24"/>
                <w:szCs w:val="24"/>
              </w:rPr>
              <w:t>藥品製劑許可證共</w:t>
            </w:r>
            <w:r w:rsidR="006945FA" w:rsidRPr="006945FA">
              <w:rPr>
                <w:rFonts w:ascii="Times New Roman" w:eastAsia="標楷體" w:hAnsi="Times New Roman" w:cs="Times New Roman" w:hint="eastAsia"/>
                <w:b w:val="0"/>
                <w:color w:val="000000" w:themeColor="text1"/>
                <w:sz w:val="24"/>
                <w:szCs w:val="24"/>
                <w:u w:val="single"/>
              </w:rPr>
              <w:t>2</w:t>
            </w:r>
            <w:r w:rsidR="00481B25" w:rsidRPr="006945FA">
              <w:rPr>
                <w:rFonts w:ascii="Times New Roman" w:eastAsia="標楷體" w:hAnsi="Times New Roman" w:cs="Times New Roman"/>
                <w:b w:val="0"/>
                <w:color w:val="000000" w:themeColor="text1"/>
                <w:sz w:val="24"/>
                <w:szCs w:val="24"/>
              </w:rPr>
              <w:t>張</w:t>
            </w:r>
            <w:r w:rsidR="00481B25" w:rsidRPr="006945FA">
              <w:rPr>
                <w:rFonts w:ascii="Times New Roman" w:eastAsia="標楷體" w:hAnsi="Times New Roman" w:cs="Times New Roman" w:hint="eastAsia"/>
                <w:b w:val="0"/>
                <w:color w:val="000000" w:themeColor="text1"/>
                <w:sz w:val="24"/>
                <w:szCs w:val="24"/>
              </w:rPr>
              <w:t>；</w:t>
            </w:r>
            <w:r w:rsidR="00481B25" w:rsidRPr="006945FA">
              <w:rPr>
                <w:rFonts w:ascii="Times New Roman" w:eastAsia="標楷體" w:hAnsi="Times New Roman" w:cs="Times New Roman"/>
                <w:b w:val="0"/>
                <w:color w:val="000000" w:themeColor="text1"/>
                <w:sz w:val="24"/>
                <w:szCs w:val="24"/>
              </w:rPr>
              <w:t>含</w:t>
            </w:r>
            <w:r w:rsidR="00481B25" w:rsidRPr="006945FA">
              <w:rPr>
                <w:rFonts w:ascii="Times New Roman" w:eastAsia="標楷體" w:hAnsi="Times New Roman" w:cs="Times New Roman"/>
                <w:b w:val="0"/>
                <w:bCs w:val="0"/>
                <w:color w:val="000000" w:themeColor="text1"/>
                <w:sz w:val="24"/>
                <w:szCs w:val="24"/>
              </w:rPr>
              <w:t>axitinib</w:t>
            </w:r>
            <w:r w:rsidR="00481B25" w:rsidRPr="006945FA">
              <w:rPr>
                <w:rFonts w:ascii="Times New Roman" w:eastAsia="標楷體" w:hAnsi="Times New Roman" w:cs="Times New Roman" w:hint="eastAsia"/>
                <w:b w:val="0"/>
                <w:color w:val="000000" w:themeColor="text1"/>
                <w:sz w:val="24"/>
                <w:szCs w:val="24"/>
              </w:rPr>
              <w:t>成分</w:t>
            </w:r>
            <w:r w:rsidR="00481B25" w:rsidRPr="006945FA">
              <w:rPr>
                <w:rFonts w:ascii="Times New Roman" w:eastAsia="標楷體" w:hAnsi="Times New Roman" w:cs="Times New Roman"/>
                <w:b w:val="0"/>
                <w:color w:val="000000" w:themeColor="text1"/>
                <w:sz w:val="24"/>
                <w:szCs w:val="24"/>
              </w:rPr>
              <w:t>藥品製劑許可證共</w:t>
            </w:r>
            <w:r w:rsidR="00481B25" w:rsidRPr="006945FA">
              <w:rPr>
                <w:rFonts w:ascii="Times New Roman" w:eastAsia="標楷體" w:hAnsi="Times New Roman" w:cs="Times New Roman" w:hint="eastAsia"/>
                <w:b w:val="0"/>
                <w:color w:val="000000" w:themeColor="text1"/>
                <w:sz w:val="24"/>
                <w:szCs w:val="24"/>
                <w:u w:val="single"/>
              </w:rPr>
              <w:t>2</w:t>
            </w:r>
            <w:r w:rsidR="00481B25" w:rsidRPr="006945FA">
              <w:rPr>
                <w:rFonts w:ascii="Times New Roman" w:eastAsia="標楷體" w:hAnsi="Times New Roman" w:cs="Times New Roman"/>
                <w:b w:val="0"/>
                <w:color w:val="000000" w:themeColor="text1"/>
                <w:sz w:val="24"/>
                <w:szCs w:val="24"/>
              </w:rPr>
              <w:t>張</w:t>
            </w:r>
            <w:r w:rsidR="00481B25" w:rsidRPr="006945FA">
              <w:rPr>
                <w:rFonts w:ascii="Times New Roman" w:eastAsia="標楷體" w:hAnsi="Times New Roman" w:cs="Times New Roman" w:hint="eastAsia"/>
                <w:b w:val="0"/>
                <w:color w:val="000000" w:themeColor="text1"/>
                <w:sz w:val="24"/>
                <w:szCs w:val="24"/>
              </w:rPr>
              <w:t>；</w:t>
            </w:r>
            <w:r w:rsidR="00481B25" w:rsidRPr="006945FA">
              <w:rPr>
                <w:rFonts w:ascii="Times New Roman" w:eastAsia="標楷體" w:hAnsi="Times New Roman" w:cs="Times New Roman"/>
                <w:b w:val="0"/>
                <w:color w:val="000000" w:themeColor="text1"/>
                <w:sz w:val="24"/>
                <w:szCs w:val="24"/>
              </w:rPr>
              <w:t>含</w:t>
            </w:r>
            <w:r w:rsidR="00481B25" w:rsidRPr="006945FA">
              <w:rPr>
                <w:rFonts w:ascii="Times New Roman" w:eastAsia="標楷體" w:hAnsi="Times New Roman" w:cs="Times New Roman"/>
                <w:b w:val="0"/>
                <w:bCs w:val="0"/>
                <w:color w:val="000000" w:themeColor="text1"/>
                <w:sz w:val="24"/>
                <w:szCs w:val="24"/>
              </w:rPr>
              <w:t>lenvatinib</w:t>
            </w:r>
            <w:r w:rsidR="00481B25" w:rsidRPr="006945FA">
              <w:rPr>
                <w:rFonts w:ascii="Times New Roman" w:eastAsia="標楷體" w:hAnsi="Times New Roman" w:cs="Times New Roman" w:hint="eastAsia"/>
                <w:b w:val="0"/>
                <w:color w:val="000000" w:themeColor="text1"/>
                <w:sz w:val="24"/>
                <w:szCs w:val="24"/>
              </w:rPr>
              <w:t>成分</w:t>
            </w:r>
            <w:r w:rsidR="00481B25" w:rsidRPr="006945FA">
              <w:rPr>
                <w:rFonts w:ascii="Times New Roman" w:eastAsia="標楷體" w:hAnsi="Times New Roman" w:cs="Times New Roman"/>
                <w:b w:val="0"/>
                <w:color w:val="000000" w:themeColor="text1"/>
                <w:sz w:val="24"/>
                <w:szCs w:val="24"/>
              </w:rPr>
              <w:t>藥品製劑許可證共</w:t>
            </w:r>
            <w:r w:rsidR="00481B25" w:rsidRPr="006945FA">
              <w:rPr>
                <w:rFonts w:ascii="Times New Roman" w:eastAsia="標楷體" w:hAnsi="Times New Roman" w:cs="Times New Roman" w:hint="eastAsia"/>
                <w:b w:val="0"/>
                <w:color w:val="000000" w:themeColor="text1"/>
                <w:sz w:val="24"/>
                <w:szCs w:val="24"/>
                <w:u w:val="single"/>
              </w:rPr>
              <w:t>2</w:t>
            </w:r>
            <w:r w:rsidR="00481B25" w:rsidRPr="006945FA">
              <w:rPr>
                <w:rFonts w:ascii="Times New Roman" w:eastAsia="標楷體" w:hAnsi="Times New Roman" w:cs="Times New Roman"/>
                <w:b w:val="0"/>
                <w:color w:val="000000" w:themeColor="text1"/>
                <w:sz w:val="24"/>
                <w:szCs w:val="24"/>
              </w:rPr>
              <w:t>張</w:t>
            </w:r>
            <w:r w:rsidR="00481B25" w:rsidRPr="006945FA">
              <w:rPr>
                <w:rFonts w:ascii="Times New Roman" w:eastAsia="標楷體" w:hAnsi="Times New Roman" w:cs="Times New Roman" w:hint="eastAsia"/>
                <w:b w:val="0"/>
                <w:color w:val="000000" w:themeColor="text1"/>
                <w:sz w:val="24"/>
                <w:szCs w:val="24"/>
              </w:rPr>
              <w:t>；</w:t>
            </w:r>
            <w:r w:rsidR="00481B25" w:rsidRPr="006945FA">
              <w:rPr>
                <w:rFonts w:ascii="Times New Roman" w:eastAsia="標楷體" w:hAnsi="Times New Roman" w:cs="Times New Roman"/>
                <w:b w:val="0"/>
                <w:color w:val="000000" w:themeColor="text1"/>
                <w:sz w:val="24"/>
                <w:szCs w:val="24"/>
              </w:rPr>
              <w:t>含</w:t>
            </w:r>
            <w:r w:rsidR="006945FA" w:rsidRPr="006945FA">
              <w:rPr>
                <w:rFonts w:ascii="Times New Roman" w:eastAsia="標楷體" w:hAnsi="Times New Roman" w:cs="Times New Roman"/>
                <w:b w:val="0"/>
                <w:bCs w:val="0"/>
                <w:color w:val="000000" w:themeColor="text1"/>
                <w:sz w:val="24"/>
                <w:szCs w:val="24"/>
              </w:rPr>
              <w:t>sorafenib</w:t>
            </w:r>
            <w:r w:rsidR="00481B25" w:rsidRPr="006945FA">
              <w:rPr>
                <w:rFonts w:ascii="Times New Roman" w:eastAsia="標楷體" w:hAnsi="Times New Roman" w:cs="Times New Roman" w:hint="eastAsia"/>
                <w:b w:val="0"/>
                <w:color w:val="000000" w:themeColor="text1"/>
                <w:sz w:val="24"/>
                <w:szCs w:val="24"/>
              </w:rPr>
              <w:t>成分</w:t>
            </w:r>
            <w:r w:rsidR="00481B25" w:rsidRPr="006945FA">
              <w:rPr>
                <w:rFonts w:ascii="Times New Roman" w:eastAsia="標楷體" w:hAnsi="Times New Roman" w:cs="Times New Roman"/>
                <w:b w:val="0"/>
                <w:color w:val="000000" w:themeColor="text1"/>
                <w:sz w:val="24"/>
                <w:szCs w:val="24"/>
              </w:rPr>
              <w:t>藥品製劑許可證共</w:t>
            </w:r>
            <w:r w:rsidR="006945FA" w:rsidRPr="006945FA">
              <w:rPr>
                <w:rFonts w:ascii="Times New Roman" w:eastAsia="標楷體" w:hAnsi="Times New Roman" w:cs="Times New Roman" w:hint="eastAsia"/>
                <w:b w:val="0"/>
                <w:color w:val="000000" w:themeColor="text1"/>
                <w:sz w:val="24"/>
                <w:szCs w:val="24"/>
                <w:u w:val="single"/>
              </w:rPr>
              <w:t>1</w:t>
            </w:r>
            <w:r w:rsidR="00481B25" w:rsidRPr="006945FA">
              <w:rPr>
                <w:rFonts w:ascii="Times New Roman" w:eastAsia="標楷體" w:hAnsi="Times New Roman" w:cs="Times New Roman"/>
                <w:b w:val="0"/>
                <w:color w:val="000000" w:themeColor="text1"/>
                <w:sz w:val="24"/>
                <w:szCs w:val="24"/>
              </w:rPr>
              <w:t>張</w:t>
            </w:r>
            <w:r w:rsidR="00481B25" w:rsidRPr="006945FA">
              <w:rPr>
                <w:rFonts w:ascii="Times New Roman" w:eastAsia="標楷體" w:hAnsi="Times New Roman" w:cs="Times New Roman" w:hint="eastAsia"/>
                <w:b w:val="0"/>
                <w:color w:val="000000" w:themeColor="text1"/>
                <w:sz w:val="24"/>
                <w:szCs w:val="24"/>
              </w:rPr>
              <w:t>；</w:t>
            </w:r>
            <w:r w:rsidR="00481B25" w:rsidRPr="006945FA">
              <w:rPr>
                <w:rFonts w:ascii="Times New Roman" w:eastAsia="標楷體" w:hAnsi="Times New Roman" w:cs="Times New Roman"/>
                <w:b w:val="0"/>
                <w:color w:val="000000" w:themeColor="text1"/>
                <w:sz w:val="24"/>
                <w:szCs w:val="24"/>
              </w:rPr>
              <w:t>含</w:t>
            </w:r>
            <w:r w:rsidR="006945FA" w:rsidRPr="006945FA">
              <w:rPr>
                <w:rFonts w:ascii="Times New Roman" w:eastAsia="標楷體" w:hAnsi="Times New Roman" w:cs="Times New Roman"/>
                <w:b w:val="0"/>
                <w:bCs w:val="0"/>
                <w:color w:val="000000" w:themeColor="text1"/>
                <w:sz w:val="24"/>
                <w:szCs w:val="24"/>
              </w:rPr>
              <w:t>nintedanib</w:t>
            </w:r>
            <w:r w:rsidR="00481B25" w:rsidRPr="006945FA">
              <w:rPr>
                <w:rFonts w:ascii="Times New Roman" w:eastAsia="標楷體" w:hAnsi="Times New Roman" w:cs="Times New Roman" w:hint="eastAsia"/>
                <w:b w:val="0"/>
                <w:color w:val="000000" w:themeColor="text1"/>
                <w:sz w:val="24"/>
                <w:szCs w:val="24"/>
              </w:rPr>
              <w:t>成分</w:t>
            </w:r>
            <w:r w:rsidR="00481B25" w:rsidRPr="006945FA">
              <w:rPr>
                <w:rFonts w:ascii="Times New Roman" w:eastAsia="標楷體" w:hAnsi="Times New Roman" w:cs="Times New Roman"/>
                <w:b w:val="0"/>
                <w:color w:val="000000" w:themeColor="text1"/>
                <w:sz w:val="24"/>
                <w:szCs w:val="24"/>
              </w:rPr>
              <w:t>藥品製劑許可證共</w:t>
            </w:r>
            <w:r w:rsidR="00481B25" w:rsidRPr="006945FA">
              <w:rPr>
                <w:rFonts w:ascii="Times New Roman" w:eastAsia="標楷體" w:hAnsi="Times New Roman" w:cs="Times New Roman" w:hint="eastAsia"/>
                <w:b w:val="0"/>
                <w:color w:val="000000" w:themeColor="text1"/>
                <w:sz w:val="24"/>
                <w:szCs w:val="24"/>
                <w:u w:val="single"/>
              </w:rPr>
              <w:t>2</w:t>
            </w:r>
            <w:r w:rsidR="00481B25" w:rsidRPr="006945FA">
              <w:rPr>
                <w:rFonts w:ascii="Times New Roman" w:eastAsia="標楷體" w:hAnsi="Times New Roman" w:cs="Times New Roman"/>
                <w:b w:val="0"/>
                <w:color w:val="000000" w:themeColor="text1"/>
                <w:sz w:val="24"/>
                <w:szCs w:val="24"/>
              </w:rPr>
              <w:t>張</w:t>
            </w:r>
            <w:r w:rsidR="00481B25" w:rsidRPr="006945FA">
              <w:rPr>
                <w:rFonts w:ascii="Times New Roman" w:eastAsia="標楷體" w:hAnsi="Times New Roman" w:cs="Times New Roman" w:hint="eastAsia"/>
                <w:b w:val="0"/>
                <w:color w:val="000000" w:themeColor="text1"/>
                <w:sz w:val="24"/>
                <w:szCs w:val="24"/>
              </w:rPr>
              <w:t>；</w:t>
            </w:r>
            <w:r w:rsidR="00481B25" w:rsidRPr="006945FA">
              <w:rPr>
                <w:rFonts w:ascii="Times New Roman" w:eastAsia="標楷體" w:hAnsi="Times New Roman" w:cs="Times New Roman"/>
                <w:b w:val="0"/>
                <w:color w:val="000000" w:themeColor="text1"/>
                <w:sz w:val="24"/>
                <w:szCs w:val="24"/>
              </w:rPr>
              <w:t>含</w:t>
            </w:r>
            <w:r w:rsidR="006945FA" w:rsidRPr="006945FA">
              <w:rPr>
                <w:rFonts w:ascii="Times New Roman" w:eastAsia="標楷體" w:hAnsi="Times New Roman" w:cs="Times New Roman"/>
                <w:b w:val="0"/>
                <w:bCs w:val="0"/>
                <w:color w:val="000000" w:themeColor="text1"/>
                <w:sz w:val="24"/>
                <w:szCs w:val="24"/>
              </w:rPr>
              <w:t>regorafenib</w:t>
            </w:r>
            <w:r w:rsidR="00481B25" w:rsidRPr="006945FA">
              <w:rPr>
                <w:rFonts w:ascii="Times New Roman" w:eastAsia="標楷體" w:hAnsi="Times New Roman" w:cs="Times New Roman" w:hint="eastAsia"/>
                <w:b w:val="0"/>
                <w:color w:val="000000" w:themeColor="text1"/>
                <w:sz w:val="24"/>
                <w:szCs w:val="24"/>
              </w:rPr>
              <w:t>成分</w:t>
            </w:r>
            <w:r w:rsidR="00481B25" w:rsidRPr="006945FA">
              <w:rPr>
                <w:rFonts w:ascii="Times New Roman" w:eastAsia="標楷體" w:hAnsi="Times New Roman" w:cs="Times New Roman"/>
                <w:b w:val="0"/>
                <w:color w:val="000000" w:themeColor="text1"/>
                <w:sz w:val="24"/>
                <w:szCs w:val="24"/>
              </w:rPr>
              <w:t>藥品製劑許可證共</w:t>
            </w:r>
            <w:r w:rsidR="006945FA" w:rsidRPr="006945FA">
              <w:rPr>
                <w:rFonts w:ascii="Times New Roman" w:eastAsia="標楷體" w:hAnsi="Times New Roman" w:cs="Times New Roman" w:hint="eastAsia"/>
                <w:b w:val="0"/>
                <w:color w:val="000000" w:themeColor="text1"/>
                <w:sz w:val="24"/>
                <w:szCs w:val="24"/>
                <w:u w:val="single"/>
              </w:rPr>
              <w:t>1</w:t>
            </w:r>
            <w:r w:rsidR="00481B25" w:rsidRPr="006945FA">
              <w:rPr>
                <w:rFonts w:ascii="Times New Roman" w:eastAsia="標楷體" w:hAnsi="Times New Roman" w:cs="Times New Roman"/>
                <w:b w:val="0"/>
                <w:color w:val="000000" w:themeColor="text1"/>
                <w:sz w:val="24"/>
                <w:szCs w:val="24"/>
              </w:rPr>
              <w:t>張</w:t>
            </w:r>
            <w:r w:rsidR="00481B25" w:rsidRPr="006945FA">
              <w:rPr>
                <w:rFonts w:ascii="Times New Roman" w:eastAsia="標楷體" w:hAnsi="Times New Roman" w:cs="Times New Roman" w:hint="eastAsia"/>
                <w:b w:val="0"/>
                <w:color w:val="000000" w:themeColor="text1"/>
                <w:sz w:val="24"/>
                <w:szCs w:val="24"/>
              </w:rPr>
              <w:t>；</w:t>
            </w:r>
            <w:r w:rsidR="00481B25" w:rsidRPr="006945FA">
              <w:rPr>
                <w:rFonts w:ascii="Times New Roman" w:eastAsia="標楷體" w:hAnsi="Times New Roman" w:cs="Times New Roman"/>
                <w:b w:val="0"/>
                <w:color w:val="000000" w:themeColor="text1"/>
                <w:sz w:val="24"/>
                <w:szCs w:val="24"/>
              </w:rPr>
              <w:t>含</w:t>
            </w:r>
            <w:r w:rsidR="006945FA" w:rsidRPr="006945FA">
              <w:rPr>
                <w:rFonts w:ascii="Times New Roman" w:eastAsia="標楷體" w:hAnsi="Times New Roman" w:cs="Times New Roman"/>
                <w:b w:val="0"/>
                <w:bCs w:val="0"/>
                <w:color w:val="000000" w:themeColor="text1"/>
                <w:sz w:val="24"/>
                <w:szCs w:val="24"/>
              </w:rPr>
              <w:t>sunitinib</w:t>
            </w:r>
            <w:r w:rsidR="00481B25" w:rsidRPr="006945FA">
              <w:rPr>
                <w:rFonts w:ascii="Times New Roman" w:eastAsia="標楷體" w:hAnsi="Times New Roman" w:cs="Times New Roman" w:hint="eastAsia"/>
                <w:b w:val="0"/>
                <w:color w:val="000000" w:themeColor="text1"/>
                <w:sz w:val="24"/>
                <w:szCs w:val="24"/>
              </w:rPr>
              <w:t>成分</w:t>
            </w:r>
            <w:r w:rsidR="00481B25" w:rsidRPr="006945FA">
              <w:rPr>
                <w:rFonts w:ascii="Times New Roman" w:eastAsia="標楷體" w:hAnsi="Times New Roman" w:cs="Times New Roman"/>
                <w:b w:val="0"/>
                <w:color w:val="000000" w:themeColor="text1"/>
                <w:sz w:val="24"/>
                <w:szCs w:val="24"/>
              </w:rPr>
              <w:t>藥品製劑許可證共</w:t>
            </w:r>
            <w:r w:rsidR="006945FA" w:rsidRPr="006945FA">
              <w:rPr>
                <w:rFonts w:ascii="Times New Roman" w:eastAsia="標楷體" w:hAnsi="Times New Roman" w:cs="Times New Roman" w:hint="eastAsia"/>
                <w:b w:val="0"/>
                <w:color w:val="000000" w:themeColor="text1"/>
                <w:sz w:val="24"/>
                <w:szCs w:val="24"/>
                <w:u w:val="single"/>
              </w:rPr>
              <w:t>3</w:t>
            </w:r>
            <w:r w:rsidR="00481B25" w:rsidRPr="006945FA">
              <w:rPr>
                <w:rFonts w:ascii="Times New Roman" w:eastAsia="標楷體" w:hAnsi="Times New Roman" w:cs="Times New Roman"/>
                <w:b w:val="0"/>
                <w:color w:val="000000" w:themeColor="text1"/>
                <w:sz w:val="24"/>
                <w:szCs w:val="24"/>
              </w:rPr>
              <w:t>張</w:t>
            </w:r>
            <w:r w:rsidR="00481B25" w:rsidRPr="006945FA">
              <w:rPr>
                <w:rFonts w:ascii="Times New Roman" w:eastAsia="標楷體" w:hAnsi="Times New Roman" w:cs="Times New Roman" w:hint="eastAsia"/>
                <w:b w:val="0"/>
                <w:color w:val="000000" w:themeColor="text1"/>
                <w:sz w:val="24"/>
                <w:szCs w:val="24"/>
              </w:rPr>
              <w:t>；</w:t>
            </w:r>
            <w:r w:rsidR="00481B25" w:rsidRPr="008C2A7F">
              <w:rPr>
                <w:rFonts w:ascii="Times New Roman" w:eastAsia="標楷體" w:hAnsi="Times New Roman" w:cs="Times New Roman"/>
                <w:b w:val="0"/>
                <w:color w:val="000000" w:themeColor="text1"/>
                <w:sz w:val="24"/>
                <w:szCs w:val="24"/>
              </w:rPr>
              <w:t>含</w:t>
            </w:r>
            <w:r w:rsidR="006945FA" w:rsidRPr="008C2A7F">
              <w:rPr>
                <w:rFonts w:ascii="Times New Roman" w:eastAsia="標楷體" w:hAnsi="Times New Roman" w:cs="Times New Roman"/>
                <w:b w:val="0"/>
                <w:bCs w:val="0"/>
                <w:sz w:val="24"/>
                <w:szCs w:val="24"/>
              </w:rPr>
              <w:t>pazopanib</w:t>
            </w:r>
            <w:r w:rsidR="00481B25" w:rsidRPr="008C2A7F">
              <w:rPr>
                <w:rFonts w:ascii="Times New Roman" w:eastAsia="標楷體" w:hAnsi="Times New Roman" w:cs="Times New Roman" w:hint="eastAsia"/>
                <w:b w:val="0"/>
                <w:color w:val="000000" w:themeColor="text1"/>
                <w:sz w:val="24"/>
                <w:szCs w:val="24"/>
              </w:rPr>
              <w:t>成分</w:t>
            </w:r>
            <w:r w:rsidR="00481B25" w:rsidRPr="008C2A7F">
              <w:rPr>
                <w:rFonts w:ascii="Times New Roman" w:eastAsia="標楷體" w:hAnsi="Times New Roman" w:cs="Times New Roman"/>
                <w:b w:val="0"/>
                <w:color w:val="000000" w:themeColor="text1"/>
                <w:sz w:val="24"/>
                <w:szCs w:val="24"/>
              </w:rPr>
              <w:t>藥品製劑許可證共</w:t>
            </w:r>
            <w:r w:rsidR="00173D51">
              <w:rPr>
                <w:rFonts w:ascii="Times New Roman" w:eastAsia="標楷體" w:hAnsi="Times New Roman" w:cs="Times New Roman" w:hint="eastAsia"/>
                <w:b w:val="0"/>
                <w:color w:val="000000" w:themeColor="text1"/>
                <w:sz w:val="24"/>
                <w:szCs w:val="24"/>
                <w:u w:val="single"/>
              </w:rPr>
              <w:t>2</w:t>
            </w:r>
            <w:r w:rsidR="00481B25" w:rsidRPr="008C2A7F">
              <w:rPr>
                <w:rFonts w:ascii="Times New Roman" w:eastAsia="標楷體" w:hAnsi="Times New Roman" w:cs="Times New Roman"/>
                <w:b w:val="0"/>
                <w:color w:val="000000" w:themeColor="text1"/>
                <w:sz w:val="24"/>
                <w:szCs w:val="24"/>
              </w:rPr>
              <w:t>張</w:t>
            </w:r>
            <w:r w:rsidR="00481B25" w:rsidRPr="006945FA">
              <w:rPr>
                <w:rFonts w:ascii="Times New Roman" w:eastAsia="標楷體" w:hAnsi="Times New Roman" w:cs="Times New Roman" w:hint="eastAsia"/>
                <w:b w:val="0"/>
                <w:color w:val="000000" w:themeColor="text1"/>
                <w:sz w:val="24"/>
                <w:szCs w:val="24"/>
              </w:rPr>
              <w:t>；</w:t>
            </w:r>
            <w:r w:rsidR="00481B25" w:rsidRPr="006945FA">
              <w:rPr>
                <w:rFonts w:ascii="Times New Roman" w:eastAsia="標楷體" w:hAnsi="Times New Roman" w:cs="Times New Roman"/>
                <w:b w:val="0"/>
                <w:color w:val="000000" w:themeColor="text1"/>
                <w:sz w:val="24"/>
                <w:szCs w:val="24"/>
              </w:rPr>
              <w:t>含</w:t>
            </w:r>
            <w:r w:rsidR="006945FA" w:rsidRPr="006945FA">
              <w:rPr>
                <w:rFonts w:ascii="Times New Roman" w:eastAsia="標楷體" w:hAnsi="Times New Roman" w:cs="Times New Roman"/>
                <w:b w:val="0"/>
                <w:bCs w:val="0"/>
                <w:color w:val="000000" w:themeColor="text1"/>
                <w:sz w:val="24"/>
                <w:szCs w:val="24"/>
              </w:rPr>
              <w:t>aflibercept</w:t>
            </w:r>
            <w:r w:rsidR="00481B25" w:rsidRPr="006945FA">
              <w:rPr>
                <w:rFonts w:ascii="Times New Roman" w:eastAsia="標楷體" w:hAnsi="Times New Roman" w:cs="Times New Roman" w:hint="eastAsia"/>
                <w:b w:val="0"/>
                <w:color w:val="000000" w:themeColor="text1"/>
                <w:sz w:val="24"/>
                <w:szCs w:val="24"/>
              </w:rPr>
              <w:t>成分</w:t>
            </w:r>
            <w:r w:rsidR="00481B25" w:rsidRPr="006945FA">
              <w:rPr>
                <w:rFonts w:ascii="Times New Roman" w:eastAsia="標楷體" w:hAnsi="Times New Roman" w:cs="Times New Roman"/>
                <w:b w:val="0"/>
                <w:color w:val="000000" w:themeColor="text1"/>
                <w:sz w:val="24"/>
                <w:szCs w:val="24"/>
              </w:rPr>
              <w:t>藥品製劑許可證共</w:t>
            </w:r>
            <w:r w:rsidR="006945FA" w:rsidRPr="006945FA">
              <w:rPr>
                <w:rFonts w:ascii="Times New Roman" w:eastAsia="標楷體" w:hAnsi="Times New Roman" w:cs="Times New Roman" w:hint="eastAsia"/>
                <w:b w:val="0"/>
                <w:color w:val="000000" w:themeColor="text1"/>
                <w:sz w:val="24"/>
                <w:szCs w:val="24"/>
                <w:u w:val="single"/>
              </w:rPr>
              <w:t>1</w:t>
            </w:r>
            <w:r w:rsidR="00481B25" w:rsidRPr="006945FA">
              <w:rPr>
                <w:rFonts w:ascii="Times New Roman" w:eastAsia="標楷體" w:hAnsi="Times New Roman" w:cs="Times New Roman"/>
                <w:b w:val="0"/>
                <w:color w:val="000000" w:themeColor="text1"/>
                <w:sz w:val="24"/>
                <w:szCs w:val="24"/>
              </w:rPr>
              <w:t>張</w:t>
            </w:r>
            <w:r w:rsidR="006945FA" w:rsidRPr="006945FA">
              <w:rPr>
                <w:rFonts w:ascii="Times New Roman" w:eastAsia="標楷體" w:hAnsi="Times New Roman" w:cs="Times New Roman"/>
                <w:b w:val="0"/>
                <w:sz w:val="24"/>
                <w:szCs w:val="24"/>
              </w:rPr>
              <w:t>（</w:t>
            </w:r>
            <w:r w:rsidR="006945FA">
              <w:rPr>
                <w:rFonts w:ascii="Times New Roman" w:eastAsia="標楷體" w:hAnsi="Times New Roman" w:cs="Times New Roman" w:hint="eastAsia"/>
                <w:b w:val="0"/>
                <w:bCs w:val="0"/>
                <w:color w:val="000000"/>
                <w:sz w:val="24"/>
                <w:szCs w:val="24"/>
              </w:rPr>
              <w:t>不包含玻璃體</w:t>
            </w:r>
            <w:r w:rsidR="007B7B70">
              <w:rPr>
                <w:rFonts w:ascii="Times New Roman" w:eastAsia="標楷體" w:hAnsi="Times New Roman" w:cs="Times New Roman" w:hint="eastAsia"/>
                <w:b w:val="0"/>
                <w:bCs w:val="0"/>
                <w:color w:val="000000"/>
                <w:sz w:val="24"/>
                <w:szCs w:val="24"/>
              </w:rPr>
              <w:t>內</w:t>
            </w:r>
            <w:r w:rsidR="006945FA">
              <w:rPr>
                <w:rFonts w:ascii="Times New Roman" w:eastAsia="標楷體" w:hAnsi="Times New Roman" w:cs="Times New Roman" w:hint="eastAsia"/>
                <w:b w:val="0"/>
                <w:bCs w:val="0"/>
                <w:color w:val="000000"/>
                <w:sz w:val="24"/>
                <w:szCs w:val="24"/>
              </w:rPr>
              <w:t>注射劑</w:t>
            </w:r>
            <w:r w:rsidR="006945FA" w:rsidRPr="006945FA">
              <w:rPr>
                <w:rFonts w:ascii="Times New Roman" w:eastAsia="標楷體" w:hAnsi="Times New Roman" w:cs="Times New Roman"/>
                <w:b w:val="0"/>
                <w:sz w:val="24"/>
                <w:szCs w:val="24"/>
              </w:rPr>
              <w:t>）</w:t>
            </w:r>
            <w:r w:rsidR="006945FA" w:rsidRPr="006945FA">
              <w:rPr>
                <w:rFonts w:ascii="Times New Roman" w:eastAsia="標楷體" w:hAnsi="Times New Roman" w:cs="Times New Roman" w:hint="eastAsia"/>
                <w:b w:val="0"/>
                <w:color w:val="000000" w:themeColor="text1"/>
                <w:sz w:val="24"/>
                <w:szCs w:val="24"/>
              </w:rPr>
              <w:t>；</w:t>
            </w:r>
            <w:r w:rsidR="006945FA">
              <w:rPr>
                <w:rFonts w:ascii="Times New Roman" w:eastAsia="標楷體" w:hAnsi="Times New Roman" w:cs="Times New Roman" w:hint="eastAsia"/>
                <w:b w:val="0"/>
                <w:color w:val="000000" w:themeColor="text1"/>
                <w:sz w:val="24"/>
                <w:szCs w:val="24"/>
              </w:rPr>
              <w:t>國內未核准</w:t>
            </w:r>
            <w:r w:rsidR="006945FA" w:rsidRPr="006945FA">
              <w:rPr>
                <w:rFonts w:ascii="Times New Roman" w:eastAsia="標楷體" w:hAnsi="Times New Roman" w:cs="Times New Roman"/>
                <w:b w:val="0"/>
                <w:color w:val="000000" w:themeColor="text1"/>
                <w:sz w:val="24"/>
                <w:szCs w:val="24"/>
              </w:rPr>
              <w:t>含</w:t>
            </w:r>
            <w:r w:rsidR="006945FA" w:rsidRPr="006945FA">
              <w:rPr>
                <w:rFonts w:ascii="Times New Roman" w:eastAsia="標楷體" w:hAnsi="Times New Roman" w:cs="Times New Roman"/>
                <w:b w:val="0"/>
                <w:bCs w:val="0"/>
                <w:color w:val="000000" w:themeColor="text1"/>
                <w:sz w:val="24"/>
                <w:szCs w:val="24"/>
              </w:rPr>
              <w:t>tivozanib</w:t>
            </w:r>
            <w:r w:rsidR="006945FA" w:rsidRPr="006945FA">
              <w:rPr>
                <w:rFonts w:ascii="Times New Roman" w:eastAsia="標楷體" w:hAnsi="Times New Roman" w:cs="Times New Roman" w:hint="eastAsia"/>
                <w:b w:val="0"/>
                <w:color w:val="000000" w:themeColor="text1"/>
                <w:sz w:val="24"/>
                <w:szCs w:val="24"/>
              </w:rPr>
              <w:t>成分</w:t>
            </w:r>
            <w:r w:rsidR="006945FA" w:rsidRPr="006945FA">
              <w:rPr>
                <w:rFonts w:ascii="Times New Roman" w:eastAsia="標楷體" w:hAnsi="Times New Roman" w:cs="Times New Roman"/>
                <w:b w:val="0"/>
                <w:color w:val="000000" w:themeColor="text1"/>
                <w:sz w:val="24"/>
                <w:szCs w:val="24"/>
              </w:rPr>
              <w:t>藥品製劑許可證</w:t>
            </w:r>
            <w:r w:rsidRPr="006945FA">
              <w:rPr>
                <w:rFonts w:ascii="Times New Roman" w:eastAsia="標楷體" w:hAnsi="標楷體" w:cs="Times New Roman"/>
                <w:b w:val="0"/>
                <w:bCs w:val="0"/>
                <w:color w:val="000000" w:themeColor="text1"/>
                <w:sz w:val="24"/>
                <w:szCs w:val="24"/>
              </w:rPr>
              <w:t>。</w:t>
            </w:r>
          </w:p>
          <w:p w:rsidR="00BF31DF" w:rsidRPr="0071206D" w:rsidRDefault="0017168C" w:rsidP="0017168C">
            <w:pPr>
              <w:pStyle w:val="1"/>
              <w:spacing w:before="0" w:beforeAutospacing="0" w:after="0" w:afterAutospacing="0" w:line="240" w:lineRule="atLeast"/>
              <w:jc w:val="both"/>
              <w:rPr>
                <w:rFonts w:ascii="Times New Roman" w:eastAsia="標楷體" w:hAnsi="標楷體" w:cs="Times New Roman"/>
                <w:b w:val="0"/>
                <w:bCs w:val="0"/>
                <w:color w:val="000000" w:themeColor="text1"/>
                <w:sz w:val="24"/>
                <w:szCs w:val="24"/>
              </w:rPr>
            </w:pPr>
            <w:r w:rsidRPr="0017168C">
              <w:rPr>
                <w:rFonts w:ascii="Times New Roman" w:eastAsia="標楷體" w:hAnsi="標楷體" w:cs="Times New Roman" w:hint="eastAsia"/>
                <w:b w:val="0"/>
                <w:bCs w:val="0"/>
                <w:color w:val="000000" w:themeColor="text1"/>
                <w:sz w:val="24"/>
                <w:szCs w:val="24"/>
              </w:rPr>
              <w:t>查詢</w:t>
            </w:r>
            <w:r w:rsidRPr="0017168C">
              <w:rPr>
                <w:rFonts w:ascii="Times New Roman" w:eastAsia="標楷體" w:hAnsi="標楷體" w:cs="Times New Roman"/>
                <w:b w:val="0"/>
                <w:bCs w:val="0"/>
                <w:color w:val="000000" w:themeColor="text1"/>
                <w:sz w:val="24"/>
                <w:szCs w:val="24"/>
              </w:rPr>
              <w:t>網址</w:t>
            </w:r>
            <w:r w:rsidRPr="002F199C">
              <w:rPr>
                <w:rFonts w:ascii="Times New Roman" w:eastAsia="標楷體" w:hAnsi="標楷體" w:cs="Times New Roman"/>
                <w:b w:val="0"/>
                <w:bCs w:val="0"/>
                <w:color w:val="000000" w:themeColor="text1"/>
                <w:sz w:val="24"/>
                <w:szCs w:val="24"/>
              </w:rPr>
              <w:t>：</w:t>
            </w:r>
            <w:hyperlink r:id="rId8" w:history="1">
              <w:r w:rsidR="0057091D" w:rsidRPr="0057091D">
                <w:rPr>
                  <w:rStyle w:val="ab"/>
                  <w:rFonts w:ascii="Times New Roman" w:hAnsi="Times New Roman"/>
                  <w:b w:val="0"/>
                  <w:sz w:val="24"/>
                  <w:szCs w:val="24"/>
                </w:rPr>
                <w:t>https://www.fda.gov.tw/mlms/H0001.aspx</w:t>
              </w:r>
            </w:hyperlink>
          </w:p>
        </w:tc>
      </w:tr>
      <w:tr w:rsidR="00211E09" w:rsidRPr="00136184" w:rsidTr="00CB2324">
        <w:trPr>
          <w:trHeight w:val="333"/>
          <w:jc w:val="center"/>
        </w:trPr>
        <w:tc>
          <w:tcPr>
            <w:tcW w:w="2413" w:type="dxa"/>
            <w:vAlign w:val="center"/>
          </w:tcPr>
          <w:p w:rsidR="00211E09" w:rsidRPr="00621754" w:rsidRDefault="00211E09" w:rsidP="009424B6">
            <w:pPr>
              <w:jc w:val="center"/>
              <w:rPr>
                <w:rFonts w:ascii="Times New Roman" w:eastAsia="標楷體" w:hAnsi="Times New Roman"/>
              </w:rPr>
            </w:pPr>
            <w:r w:rsidRPr="00621754">
              <w:rPr>
                <w:rFonts w:ascii="Times New Roman" w:eastAsia="標楷體" w:hAnsi="標楷體" w:hint="eastAsia"/>
                <w:color w:val="000000"/>
              </w:rPr>
              <w:t>適應症</w:t>
            </w:r>
          </w:p>
        </w:tc>
        <w:tc>
          <w:tcPr>
            <w:tcW w:w="7316" w:type="dxa"/>
          </w:tcPr>
          <w:p w:rsidR="007002BD" w:rsidRPr="00716808" w:rsidRDefault="008447DA" w:rsidP="004F302F">
            <w:pPr>
              <w:tabs>
                <w:tab w:val="left" w:pos="1010"/>
              </w:tabs>
              <w:spacing w:before="100" w:beforeAutospacing="1" w:after="100" w:afterAutospacing="1"/>
              <w:jc w:val="both"/>
              <w:rPr>
                <w:rFonts w:ascii="Times New Roman" w:eastAsia="標楷體" w:hAnsi="Times New Roman"/>
                <w:color w:val="000000" w:themeColor="text1"/>
                <w:kern w:val="0"/>
                <w:szCs w:val="24"/>
              </w:rPr>
            </w:pPr>
            <w:r>
              <w:rPr>
                <w:rFonts w:ascii="標楷體" w:eastAsia="標楷體" w:hAnsi="標楷體" w:hint="eastAsia"/>
                <w:color w:val="000000" w:themeColor="text1"/>
                <w:szCs w:val="24"/>
                <w:shd w:val="clear" w:color="auto" w:fill="FFFFFF"/>
              </w:rPr>
              <w:t>詳見附件</w:t>
            </w:r>
          </w:p>
        </w:tc>
      </w:tr>
      <w:tr w:rsidR="00211E09" w:rsidRPr="00136184" w:rsidTr="00CB2324">
        <w:trPr>
          <w:jc w:val="center"/>
        </w:trPr>
        <w:tc>
          <w:tcPr>
            <w:tcW w:w="2413" w:type="dxa"/>
            <w:vAlign w:val="center"/>
          </w:tcPr>
          <w:p w:rsidR="00211E09" w:rsidRDefault="00211E09" w:rsidP="009424B6">
            <w:pPr>
              <w:jc w:val="center"/>
              <w:rPr>
                <w:rFonts w:ascii="Times New Roman" w:eastAsia="標楷體" w:hAnsi="標楷體"/>
              </w:rPr>
            </w:pPr>
            <w:r>
              <w:rPr>
                <w:rFonts w:ascii="Times New Roman" w:eastAsia="標楷體" w:hAnsi="標楷體" w:hint="eastAsia"/>
              </w:rPr>
              <w:t>藥理作用機轉</w:t>
            </w:r>
          </w:p>
        </w:tc>
        <w:tc>
          <w:tcPr>
            <w:tcW w:w="7316" w:type="dxa"/>
          </w:tcPr>
          <w:p w:rsidR="0007146D" w:rsidRPr="004D29F3" w:rsidRDefault="008447DA" w:rsidP="00784D01">
            <w:pPr>
              <w:tabs>
                <w:tab w:val="left" w:pos="1010"/>
              </w:tabs>
              <w:spacing w:before="100" w:beforeAutospacing="1" w:after="100" w:afterAutospacing="1"/>
              <w:jc w:val="both"/>
              <w:rPr>
                <w:rFonts w:ascii="Times New Roman" w:eastAsia="標楷體" w:hAnsi="Times New Roman"/>
                <w:bCs/>
                <w:color w:val="000000" w:themeColor="text1"/>
                <w:kern w:val="36"/>
                <w:szCs w:val="24"/>
                <w:lang w:bidi="hi-IN"/>
              </w:rPr>
            </w:pPr>
            <w:r>
              <w:rPr>
                <w:rFonts w:ascii="Times New Roman" w:eastAsia="標楷體" w:hAnsi="Times New Roman" w:hint="eastAsia"/>
                <w:color w:val="000000"/>
                <w:kern w:val="0"/>
                <w:szCs w:val="24"/>
                <w:lang w:bidi="hi-IN"/>
              </w:rPr>
              <w:t>詳見附件</w:t>
            </w:r>
          </w:p>
        </w:tc>
      </w:tr>
      <w:tr w:rsidR="00211E09" w:rsidRPr="00136184" w:rsidTr="00CB2324">
        <w:trPr>
          <w:trHeight w:val="896"/>
          <w:jc w:val="center"/>
        </w:trPr>
        <w:tc>
          <w:tcPr>
            <w:tcW w:w="2413" w:type="dxa"/>
            <w:vAlign w:val="center"/>
          </w:tcPr>
          <w:p w:rsidR="00211E09" w:rsidRPr="00B54D09" w:rsidRDefault="00211E09" w:rsidP="009424B6">
            <w:pPr>
              <w:jc w:val="center"/>
              <w:rPr>
                <w:rFonts w:ascii="Times New Roman" w:eastAsia="標楷體" w:hAnsi="Times New Roman"/>
                <w:color w:val="000000"/>
              </w:rPr>
            </w:pPr>
            <w:r w:rsidRPr="00B54D09">
              <w:rPr>
                <w:rFonts w:ascii="Times New Roman" w:eastAsia="標楷體" w:hAnsi="Times New Roman"/>
                <w:color w:val="000000"/>
              </w:rPr>
              <w:t>訊息緣由</w:t>
            </w:r>
          </w:p>
        </w:tc>
        <w:tc>
          <w:tcPr>
            <w:tcW w:w="7316" w:type="dxa"/>
          </w:tcPr>
          <w:p w:rsidR="00B54D09" w:rsidRPr="006426FD" w:rsidRDefault="0057680C" w:rsidP="00FB74A3">
            <w:pPr>
              <w:widowControl/>
              <w:shd w:val="clear" w:color="auto" w:fill="FFFFFF"/>
              <w:jc w:val="both"/>
              <w:rPr>
                <w:rFonts w:ascii="Times New Roman" w:eastAsia="標楷體" w:hAnsi="Times New Roman"/>
                <w:bCs/>
                <w:color w:val="000000" w:themeColor="text1"/>
                <w:kern w:val="36"/>
                <w:szCs w:val="24"/>
                <w:lang w:bidi="hi-IN"/>
              </w:rPr>
            </w:pPr>
            <w:r>
              <w:rPr>
                <w:rFonts w:ascii="Times New Roman" w:eastAsia="標楷體" w:hAnsi="Times New Roman"/>
                <w:color w:val="000000"/>
                <w:kern w:val="0"/>
                <w:szCs w:val="24"/>
              </w:rPr>
              <w:t>2020/</w:t>
            </w:r>
            <w:r>
              <w:rPr>
                <w:rFonts w:ascii="Times New Roman" w:eastAsia="標楷體" w:hAnsi="Times New Roman" w:hint="eastAsia"/>
                <w:color w:val="000000"/>
                <w:kern w:val="0"/>
                <w:szCs w:val="24"/>
              </w:rPr>
              <w:t>7</w:t>
            </w:r>
            <w:r>
              <w:rPr>
                <w:rFonts w:ascii="Times New Roman" w:eastAsia="標楷體" w:hAnsi="Times New Roman"/>
                <w:color w:val="000000"/>
                <w:kern w:val="0"/>
                <w:szCs w:val="24"/>
              </w:rPr>
              <w:t>/</w:t>
            </w:r>
            <w:r>
              <w:rPr>
                <w:rFonts w:ascii="Times New Roman" w:eastAsia="標楷體" w:hAnsi="Times New Roman" w:hint="eastAsia"/>
                <w:color w:val="000000"/>
                <w:kern w:val="0"/>
                <w:szCs w:val="24"/>
              </w:rPr>
              <w:t>31</w:t>
            </w:r>
            <w:r w:rsidR="002411D0">
              <w:rPr>
                <w:rFonts w:ascii="Times New Roman" w:eastAsia="標楷體" w:hAnsi="Times New Roman" w:hint="eastAsia"/>
                <w:color w:val="000000"/>
                <w:kern w:val="0"/>
                <w:szCs w:val="24"/>
              </w:rPr>
              <w:t>英國醫藥品管理局</w:t>
            </w:r>
            <w:r w:rsidR="002557E3" w:rsidRPr="00B65426">
              <w:rPr>
                <w:rFonts w:ascii="Times New Roman" w:eastAsia="標楷體" w:hAnsi="Times New Roman" w:hint="eastAsia"/>
                <w:bCs/>
                <w:kern w:val="36"/>
                <w:lang w:bidi="hi-IN"/>
              </w:rPr>
              <w:t>（</w:t>
            </w:r>
            <w:r w:rsidR="002411D0">
              <w:rPr>
                <w:rFonts w:ascii="Times New Roman" w:eastAsia="標楷體" w:hAnsi="Times New Roman" w:hint="eastAsia"/>
                <w:bCs/>
                <w:kern w:val="36"/>
                <w:lang w:bidi="hi-IN"/>
              </w:rPr>
              <w:t>Medi</w:t>
            </w:r>
            <w:r w:rsidR="002411D0">
              <w:rPr>
                <w:rFonts w:ascii="Times New Roman" w:eastAsia="標楷體" w:hAnsi="Times New Roman"/>
                <w:bCs/>
                <w:kern w:val="36"/>
                <w:lang w:bidi="hi-IN"/>
              </w:rPr>
              <w:t>cines and Healthcare products Regulatory Agency</w:t>
            </w:r>
            <w:r w:rsidR="002411D0">
              <w:rPr>
                <w:rFonts w:ascii="Times New Roman" w:eastAsia="標楷體" w:hAnsi="Times New Roman" w:hint="eastAsia"/>
                <w:bCs/>
                <w:kern w:val="36"/>
                <w:lang w:bidi="hi-IN"/>
              </w:rPr>
              <w:t>，</w:t>
            </w:r>
            <w:r w:rsidR="002411D0">
              <w:rPr>
                <w:rFonts w:ascii="Times New Roman" w:eastAsia="標楷體" w:hAnsi="Times New Roman" w:hint="eastAsia"/>
                <w:bCs/>
                <w:kern w:val="36"/>
                <w:lang w:bidi="hi-IN"/>
              </w:rPr>
              <w:t>MHRA</w:t>
            </w:r>
            <w:r w:rsidR="002557E3" w:rsidRPr="00B65426">
              <w:rPr>
                <w:rFonts w:ascii="Times New Roman" w:eastAsia="標楷體" w:hAnsi="Times New Roman" w:hint="eastAsia"/>
                <w:bCs/>
                <w:kern w:val="36"/>
                <w:lang w:bidi="hi-IN"/>
              </w:rPr>
              <w:t>）</w:t>
            </w:r>
            <w:r w:rsidR="00005C49" w:rsidRPr="00B54D09">
              <w:rPr>
                <w:rFonts w:ascii="Times New Roman" w:eastAsia="標楷體" w:hAnsi="Times New Roman"/>
                <w:color w:val="000000"/>
                <w:kern w:val="0"/>
                <w:szCs w:val="24"/>
              </w:rPr>
              <w:t>發布</w:t>
            </w:r>
            <w:r w:rsidR="006426FD">
              <w:rPr>
                <w:rFonts w:ascii="Times New Roman" w:eastAsia="標楷體" w:hAnsi="Times New Roman" w:hint="eastAsia"/>
                <w:color w:val="000000"/>
                <w:kern w:val="0"/>
                <w:szCs w:val="24"/>
              </w:rPr>
              <w:t>關於</w:t>
            </w:r>
            <w:r w:rsidR="00DD1AEF">
              <w:rPr>
                <w:rFonts w:ascii="Times New Roman" w:eastAsia="標楷體" w:hAnsi="Times New Roman" w:hint="eastAsia"/>
                <w:color w:val="000000"/>
                <w:kern w:val="0"/>
                <w:szCs w:val="24"/>
              </w:rPr>
              <w:t>全身性投予</w:t>
            </w:r>
            <w:r w:rsidR="00DD1AEF">
              <w:rPr>
                <w:rFonts w:ascii="Times New Roman" w:eastAsia="標楷體" w:hint="eastAsia"/>
                <w:bCs/>
                <w:color w:val="000000" w:themeColor="text1"/>
                <w:kern w:val="36"/>
                <w:lang w:bidi="hi-IN"/>
              </w:rPr>
              <w:t>血管內皮生長因子路徑</w:t>
            </w:r>
            <w:r w:rsidR="00DD1AEF" w:rsidRPr="00481B25">
              <w:rPr>
                <w:rFonts w:ascii="Times New Roman" w:eastAsia="標楷體" w:hint="eastAsia"/>
                <w:bCs/>
                <w:color w:val="000000" w:themeColor="text1"/>
                <w:kern w:val="36"/>
                <w:lang w:bidi="hi-IN"/>
              </w:rPr>
              <w:t>抑制</w:t>
            </w:r>
            <w:r w:rsidR="00DD1AEF" w:rsidRPr="00481B25">
              <w:rPr>
                <w:rFonts w:ascii="Times New Roman" w:eastAsia="標楷體" w:hAnsi="Times New Roman"/>
                <w:bCs/>
                <w:color w:val="000000" w:themeColor="text1"/>
                <w:kern w:val="36"/>
                <w:szCs w:val="24"/>
                <w:lang w:bidi="hi-IN"/>
              </w:rPr>
              <w:t>劑</w:t>
            </w:r>
            <w:r w:rsidR="00DD1AEF">
              <w:rPr>
                <w:rFonts w:ascii="Times New Roman" w:eastAsia="標楷體" w:hAnsi="Times New Roman" w:hint="eastAsia"/>
                <w:bCs/>
                <w:color w:val="000000" w:themeColor="text1"/>
                <w:kern w:val="36"/>
                <w:szCs w:val="24"/>
                <w:lang w:bidi="hi-IN"/>
              </w:rPr>
              <w:t>類藥品</w:t>
            </w:r>
            <w:r w:rsidR="006426FD">
              <w:rPr>
                <w:rFonts w:ascii="Times New Roman" w:eastAsia="標楷體" w:hAnsi="Times New Roman" w:hint="eastAsia"/>
                <w:bCs/>
                <w:color w:val="000000" w:themeColor="text1"/>
                <w:kern w:val="36"/>
                <w:szCs w:val="24"/>
                <w:lang w:bidi="hi-IN"/>
              </w:rPr>
              <w:t>與</w:t>
            </w:r>
            <w:r w:rsidR="009A6329">
              <w:rPr>
                <w:rFonts w:ascii="Times New Roman" w:eastAsia="標楷體" w:hAnsi="Times New Roman" w:hint="eastAsia"/>
                <w:bCs/>
                <w:color w:val="000000" w:themeColor="text1"/>
                <w:kern w:val="36"/>
                <w:szCs w:val="24"/>
                <w:lang w:bidi="hi-IN"/>
              </w:rPr>
              <w:t>動脈瘤和動脈剝離風險</w:t>
            </w:r>
            <w:r w:rsidR="006426FD">
              <w:rPr>
                <w:rFonts w:ascii="Times New Roman" w:eastAsia="標楷體" w:hAnsi="Times New Roman" w:hint="eastAsia"/>
                <w:bCs/>
                <w:color w:val="000000" w:themeColor="text1"/>
                <w:kern w:val="36"/>
                <w:szCs w:val="24"/>
                <w:lang w:bidi="hi-IN"/>
              </w:rPr>
              <w:t>之</w:t>
            </w:r>
            <w:r w:rsidR="006426FD">
              <w:rPr>
                <w:rFonts w:ascii="Times New Roman" w:eastAsia="標楷體" w:hAnsi="Times New Roman" w:hint="eastAsia"/>
                <w:color w:val="000000"/>
                <w:kern w:val="0"/>
                <w:szCs w:val="24"/>
              </w:rPr>
              <w:t>安全性資訊</w:t>
            </w:r>
            <w:r w:rsidR="000C2AF2">
              <w:rPr>
                <w:rFonts w:ascii="Times New Roman" w:eastAsia="標楷體" w:hAnsi="Times New Roman" w:hint="eastAsia"/>
                <w:color w:val="000000"/>
                <w:kern w:val="0"/>
                <w:szCs w:val="24"/>
              </w:rPr>
              <w:t>。</w:t>
            </w:r>
          </w:p>
          <w:p w:rsidR="00B54D09" w:rsidRPr="00B54D09" w:rsidRDefault="00DC4039" w:rsidP="00B54D09">
            <w:pPr>
              <w:widowControl/>
              <w:shd w:val="clear" w:color="auto" w:fill="FFFFFF"/>
              <w:rPr>
                <w:rFonts w:ascii="Times New Roman" w:hAnsi="Times New Roman"/>
                <w:color w:val="222222"/>
                <w:kern w:val="0"/>
                <w:szCs w:val="24"/>
              </w:rPr>
            </w:pPr>
            <w:r w:rsidRPr="00B54D09">
              <w:rPr>
                <w:rFonts w:ascii="Times New Roman" w:eastAsia="標楷體" w:hAnsi="Times New Roman"/>
                <w:color w:val="000000"/>
                <w:kern w:val="0"/>
                <w:szCs w:val="24"/>
              </w:rPr>
              <w:t>網址：</w:t>
            </w:r>
            <w:hyperlink r:id="rId9" w:history="1">
              <w:r w:rsidR="002411D0" w:rsidRPr="002411D0">
                <w:rPr>
                  <w:rStyle w:val="ab"/>
                  <w:rFonts w:ascii="Times New Roman" w:hAnsi="Times New Roman"/>
                </w:rPr>
                <w:t>https://www.gov.uk/drug-safety-update/systemically-administered-vegf-pathway-inhibitors-risk-of-aneurysm-and-artery-dissection</w:t>
              </w:r>
            </w:hyperlink>
          </w:p>
        </w:tc>
      </w:tr>
      <w:tr w:rsidR="004E33E0" w:rsidRPr="00136184" w:rsidTr="00CB2324">
        <w:trPr>
          <w:trHeight w:val="896"/>
          <w:jc w:val="center"/>
        </w:trPr>
        <w:tc>
          <w:tcPr>
            <w:tcW w:w="2413" w:type="dxa"/>
            <w:vAlign w:val="center"/>
          </w:tcPr>
          <w:p w:rsidR="004E33E0" w:rsidRPr="00C859E3" w:rsidRDefault="004E33E0" w:rsidP="009424B6">
            <w:pPr>
              <w:jc w:val="center"/>
              <w:rPr>
                <w:rFonts w:ascii="Times New Roman" w:eastAsia="標楷體" w:hAnsi="標楷體"/>
                <w:color w:val="000000"/>
              </w:rPr>
            </w:pPr>
            <w:r w:rsidRPr="00B57AEE">
              <w:rPr>
                <w:rFonts w:ascii="Times New Roman" w:eastAsia="標楷體" w:hAnsi="標楷體" w:hint="eastAsia"/>
              </w:rPr>
              <w:t>藥品安全有關資訊分析及描述</w:t>
            </w:r>
          </w:p>
        </w:tc>
        <w:tc>
          <w:tcPr>
            <w:tcW w:w="7316" w:type="dxa"/>
          </w:tcPr>
          <w:p w:rsidR="008F6F03" w:rsidRDefault="008F6F03" w:rsidP="003555E5">
            <w:pPr>
              <w:pStyle w:val="a9"/>
              <w:widowControl/>
              <w:numPr>
                <w:ilvl w:val="0"/>
                <w:numId w:val="1"/>
              </w:numPr>
              <w:shd w:val="clear" w:color="auto" w:fill="FFFFFF"/>
              <w:ind w:leftChars="0"/>
              <w:jc w:val="both"/>
              <w:rPr>
                <w:rFonts w:ascii="Times New Roman" w:eastAsia="標楷體" w:hAnsi="Times New Roman"/>
                <w:szCs w:val="24"/>
              </w:rPr>
            </w:pPr>
            <w:r>
              <w:rPr>
                <w:rFonts w:ascii="Times New Roman" w:eastAsia="標楷體" w:hAnsi="Times New Roman" w:hint="eastAsia"/>
                <w:szCs w:val="24"/>
              </w:rPr>
              <w:t>近期一份歐盟的評估報告指出，所有全身性</w:t>
            </w:r>
            <w:r>
              <w:rPr>
                <w:rFonts w:ascii="Times New Roman" w:eastAsia="標楷體" w:hAnsi="Times New Roman" w:hint="eastAsia"/>
                <w:color w:val="000000"/>
                <w:kern w:val="0"/>
                <w:szCs w:val="24"/>
              </w:rPr>
              <w:t>投予之</w:t>
            </w:r>
            <w:r>
              <w:rPr>
                <w:rFonts w:ascii="Times New Roman" w:eastAsia="標楷體" w:hint="eastAsia"/>
                <w:bCs/>
                <w:color w:val="000000" w:themeColor="text1"/>
                <w:kern w:val="36"/>
                <w:lang w:bidi="hi-IN"/>
              </w:rPr>
              <w:t>血管內皮生長因子路徑</w:t>
            </w:r>
            <w:r w:rsidRPr="00481B25">
              <w:rPr>
                <w:rFonts w:ascii="Times New Roman" w:eastAsia="標楷體" w:hint="eastAsia"/>
                <w:bCs/>
                <w:color w:val="000000" w:themeColor="text1"/>
                <w:kern w:val="36"/>
                <w:lang w:bidi="hi-IN"/>
              </w:rPr>
              <w:t>抑制</w:t>
            </w:r>
            <w:r w:rsidRPr="00481B25">
              <w:rPr>
                <w:rFonts w:ascii="Times New Roman" w:eastAsia="標楷體" w:hAnsi="Times New Roman"/>
                <w:bCs/>
                <w:color w:val="000000" w:themeColor="text1"/>
                <w:kern w:val="36"/>
                <w:szCs w:val="24"/>
                <w:lang w:bidi="hi-IN"/>
              </w:rPr>
              <w:t>劑</w:t>
            </w:r>
            <w:r>
              <w:rPr>
                <w:rFonts w:ascii="Times New Roman" w:eastAsia="標楷體" w:hAnsi="Times New Roman" w:hint="eastAsia"/>
                <w:bCs/>
                <w:color w:val="000000" w:themeColor="text1"/>
                <w:kern w:val="36"/>
                <w:szCs w:val="24"/>
                <w:lang w:bidi="hi-IN"/>
              </w:rPr>
              <w:t>類藥品可能</w:t>
            </w:r>
            <w:r w:rsidR="00097560">
              <w:rPr>
                <w:rFonts w:ascii="Times New Roman" w:eastAsia="標楷體" w:hAnsi="Times New Roman" w:hint="eastAsia"/>
                <w:bCs/>
                <w:color w:val="000000" w:themeColor="text1"/>
                <w:kern w:val="36"/>
                <w:szCs w:val="24"/>
                <w:lang w:bidi="hi-IN"/>
              </w:rPr>
              <w:t>具促進</w:t>
            </w:r>
            <w:r>
              <w:rPr>
                <w:rFonts w:ascii="Times New Roman" w:eastAsia="標楷體" w:hAnsi="Times New Roman" w:hint="eastAsia"/>
                <w:bCs/>
                <w:color w:val="000000" w:themeColor="text1"/>
                <w:kern w:val="36"/>
                <w:szCs w:val="24"/>
                <w:lang w:bidi="hi-IN"/>
              </w:rPr>
              <w:t>動脈瘤</w:t>
            </w:r>
            <w:r w:rsidR="00097560">
              <w:rPr>
                <w:rFonts w:ascii="Times New Roman" w:eastAsia="標楷體" w:hAnsi="Times New Roman" w:hint="eastAsia"/>
                <w:bCs/>
                <w:color w:val="000000" w:themeColor="text1"/>
                <w:kern w:val="36"/>
                <w:szCs w:val="24"/>
                <w:lang w:bidi="hi-IN"/>
              </w:rPr>
              <w:t>生成</w:t>
            </w:r>
            <w:r>
              <w:rPr>
                <w:rFonts w:ascii="Times New Roman" w:eastAsia="標楷體" w:hAnsi="Times New Roman" w:hint="eastAsia"/>
                <w:bCs/>
                <w:color w:val="000000" w:themeColor="text1"/>
                <w:kern w:val="36"/>
                <w:szCs w:val="24"/>
                <w:lang w:bidi="hi-IN"/>
              </w:rPr>
              <w:t>和動脈剝離</w:t>
            </w:r>
            <w:r w:rsidR="006426FD">
              <w:rPr>
                <w:rFonts w:ascii="Times New Roman" w:eastAsia="標楷體" w:hAnsi="Times New Roman" w:hint="eastAsia"/>
                <w:bCs/>
                <w:color w:val="000000" w:themeColor="text1"/>
                <w:kern w:val="36"/>
                <w:szCs w:val="24"/>
                <w:lang w:bidi="hi-IN"/>
              </w:rPr>
              <w:t>之</w:t>
            </w:r>
            <w:r w:rsidR="00097560">
              <w:rPr>
                <w:rFonts w:ascii="Times New Roman" w:eastAsia="標楷體" w:hAnsi="Times New Roman" w:hint="eastAsia"/>
                <w:bCs/>
                <w:color w:val="000000" w:themeColor="text1"/>
                <w:kern w:val="36"/>
                <w:szCs w:val="24"/>
                <w:lang w:bidi="hi-IN"/>
              </w:rPr>
              <w:t>風險，此類藥品包含</w:t>
            </w:r>
            <w:r w:rsidR="00097560" w:rsidRPr="00481B25">
              <w:rPr>
                <w:rFonts w:ascii="Times New Roman" w:eastAsia="標楷體" w:hAnsi="Times New Roman"/>
                <w:bCs/>
                <w:color w:val="000000" w:themeColor="text1"/>
                <w:kern w:val="36"/>
                <w:szCs w:val="24"/>
                <w:lang w:bidi="hi-IN"/>
              </w:rPr>
              <w:t>bevacizumab</w:t>
            </w:r>
            <w:r w:rsidR="00097560" w:rsidRPr="00481B25">
              <w:rPr>
                <w:rFonts w:ascii="Times New Roman" w:eastAsia="標楷體" w:hAnsi="Times New Roman"/>
                <w:bCs/>
                <w:color w:val="000000" w:themeColor="text1"/>
                <w:kern w:val="36"/>
                <w:szCs w:val="24"/>
                <w:lang w:bidi="hi-IN"/>
              </w:rPr>
              <w:t>、</w:t>
            </w:r>
            <w:r w:rsidR="00097560" w:rsidRPr="00481B25">
              <w:rPr>
                <w:rFonts w:ascii="Times New Roman" w:eastAsia="標楷體" w:hAnsi="Times New Roman"/>
                <w:bCs/>
                <w:color w:val="000000" w:themeColor="text1"/>
                <w:kern w:val="36"/>
                <w:szCs w:val="24"/>
                <w:lang w:bidi="hi-IN"/>
              </w:rPr>
              <w:t>vandetanib</w:t>
            </w:r>
            <w:r w:rsidR="00097560" w:rsidRPr="00481B25">
              <w:rPr>
                <w:rFonts w:ascii="Times New Roman" w:eastAsia="標楷體" w:hAnsi="Times New Roman"/>
                <w:bCs/>
                <w:color w:val="000000" w:themeColor="text1"/>
                <w:kern w:val="36"/>
                <w:szCs w:val="24"/>
                <w:lang w:bidi="hi-IN"/>
              </w:rPr>
              <w:t>、</w:t>
            </w:r>
            <w:r w:rsidR="00097560" w:rsidRPr="00481B25">
              <w:rPr>
                <w:rFonts w:ascii="Times New Roman" w:eastAsia="標楷體" w:hAnsi="Times New Roman"/>
                <w:bCs/>
                <w:color w:val="000000" w:themeColor="text1"/>
                <w:kern w:val="36"/>
                <w:szCs w:val="24"/>
                <w:lang w:bidi="hi-IN"/>
              </w:rPr>
              <w:t>cabozantinib</w:t>
            </w:r>
            <w:r w:rsidR="00097560" w:rsidRPr="00481B25">
              <w:rPr>
                <w:rFonts w:ascii="Times New Roman" w:eastAsia="標楷體" w:hAnsi="Times New Roman"/>
                <w:bCs/>
                <w:color w:val="000000" w:themeColor="text1"/>
                <w:kern w:val="36"/>
                <w:szCs w:val="24"/>
                <w:lang w:bidi="hi-IN"/>
              </w:rPr>
              <w:t>、</w:t>
            </w:r>
            <w:r w:rsidR="00097560" w:rsidRPr="00481B25">
              <w:rPr>
                <w:rFonts w:ascii="Times New Roman" w:eastAsia="標楷體" w:hAnsi="Times New Roman"/>
                <w:bCs/>
                <w:color w:val="000000" w:themeColor="text1"/>
                <w:kern w:val="36"/>
                <w:szCs w:val="24"/>
                <w:lang w:bidi="hi-IN"/>
              </w:rPr>
              <w:t>ramucirumab</w:t>
            </w:r>
            <w:r w:rsidR="00097560" w:rsidRPr="00481B25">
              <w:rPr>
                <w:rFonts w:ascii="Times New Roman" w:eastAsia="標楷體" w:hAnsi="Times New Roman"/>
                <w:bCs/>
                <w:color w:val="000000" w:themeColor="text1"/>
                <w:kern w:val="36"/>
                <w:szCs w:val="24"/>
                <w:lang w:bidi="hi-IN"/>
              </w:rPr>
              <w:t>、</w:t>
            </w:r>
            <w:r w:rsidR="00097560" w:rsidRPr="00481B25">
              <w:rPr>
                <w:rFonts w:ascii="Times New Roman" w:eastAsia="標楷體" w:hAnsi="Times New Roman"/>
                <w:bCs/>
                <w:color w:val="000000" w:themeColor="text1"/>
                <w:kern w:val="36"/>
                <w:szCs w:val="24"/>
                <w:lang w:bidi="hi-IN"/>
              </w:rPr>
              <w:t>tivozanib</w:t>
            </w:r>
            <w:r w:rsidR="00097560" w:rsidRPr="00481B25">
              <w:rPr>
                <w:rFonts w:ascii="Times New Roman" w:eastAsia="標楷體" w:hAnsi="Times New Roman"/>
                <w:bCs/>
                <w:color w:val="000000" w:themeColor="text1"/>
                <w:kern w:val="36"/>
                <w:szCs w:val="24"/>
                <w:lang w:bidi="hi-IN"/>
              </w:rPr>
              <w:t>、</w:t>
            </w:r>
            <w:r w:rsidR="00097560" w:rsidRPr="00481B25">
              <w:rPr>
                <w:rFonts w:ascii="Times New Roman" w:eastAsia="標楷體" w:hAnsi="Times New Roman"/>
                <w:bCs/>
                <w:color w:val="000000" w:themeColor="text1"/>
                <w:kern w:val="36"/>
                <w:szCs w:val="24"/>
                <w:lang w:bidi="hi-IN"/>
              </w:rPr>
              <w:t>ponatinib</w:t>
            </w:r>
            <w:r w:rsidR="00097560" w:rsidRPr="00481B25">
              <w:rPr>
                <w:rFonts w:ascii="Times New Roman" w:eastAsia="標楷體" w:hAnsi="Times New Roman"/>
                <w:bCs/>
                <w:color w:val="000000" w:themeColor="text1"/>
                <w:kern w:val="36"/>
                <w:szCs w:val="24"/>
                <w:lang w:bidi="hi-IN"/>
              </w:rPr>
              <w:t>、</w:t>
            </w:r>
            <w:r w:rsidR="00097560" w:rsidRPr="00481B25">
              <w:rPr>
                <w:rFonts w:ascii="Times New Roman" w:eastAsia="標楷體" w:hAnsi="Times New Roman"/>
                <w:bCs/>
                <w:color w:val="000000" w:themeColor="text1"/>
                <w:kern w:val="36"/>
                <w:szCs w:val="24"/>
                <w:lang w:bidi="hi-IN"/>
              </w:rPr>
              <w:t>axitinib</w:t>
            </w:r>
            <w:r w:rsidR="00097560" w:rsidRPr="00481B25">
              <w:rPr>
                <w:rFonts w:ascii="Times New Roman" w:eastAsia="標楷體" w:hAnsi="Times New Roman"/>
                <w:bCs/>
                <w:color w:val="000000" w:themeColor="text1"/>
                <w:kern w:val="36"/>
                <w:szCs w:val="24"/>
                <w:lang w:bidi="hi-IN"/>
              </w:rPr>
              <w:t>、</w:t>
            </w:r>
            <w:r w:rsidR="00097560" w:rsidRPr="00481B25">
              <w:rPr>
                <w:rFonts w:ascii="Times New Roman" w:eastAsia="標楷體" w:hAnsi="Times New Roman"/>
                <w:bCs/>
                <w:color w:val="000000" w:themeColor="text1"/>
                <w:kern w:val="36"/>
                <w:szCs w:val="24"/>
                <w:lang w:bidi="hi-IN"/>
              </w:rPr>
              <w:t>lenvatinib</w:t>
            </w:r>
            <w:r w:rsidR="00097560" w:rsidRPr="00481B25">
              <w:rPr>
                <w:rFonts w:ascii="Times New Roman" w:eastAsia="標楷體" w:hAnsi="Times New Roman"/>
                <w:bCs/>
                <w:color w:val="000000" w:themeColor="text1"/>
                <w:kern w:val="36"/>
                <w:szCs w:val="24"/>
                <w:lang w:bidi="hi-IN"/>
              </w:rPr>
              <w:t>、</w:t>
            </w:r>
            <w:r w:rsidR="00097560" w:rsidRPr="00481B25">
              <w:rPr>
                <w:rFonts w:ascii="Times New Roman" w:eastAsia="標楷體" w:hAnsi="Times New Roman"/>
                <w:bCs/>
                <w:color w:val="000000" w:themeColor="text1"/>
                <w:kern w:val="36"/>
                <w:szCs w:val="24"/>
                <w:lang w:bidi="hi-IN"/>
              </w:rPr>
              <w:t>sorafenib</w:t>
            </w:r>
            <w:r w:rsidR="00097560" w:rsidRPr="00481B25">
              <w:rPr>
                <w:rFonts w:ascii="Times New Roman" w:eastAsia="標楷體" w:hAnsi="Times New Roman"/>
                <w:bCs/>
                <w:color w:val="000000" w:themeColor="text1"/>
                <w:kern w:val="36"/>
                <w:szCs w:val="24"/>
                <w:lang w:bidi="hi-IN"/>
              </w:rPr>
              <w:t>、</w:t>
            </w:r>
            <w:r w:rsidR="00097560" w:rsidRPr="00481B25">
              <w:rPr>
                <w:rFonts w:ascii="Times New Roman" w:eastAsia="標楷體" w:hAnsi="Times New Roman"/>
                <w:bCs/>
                <w:color w:val="000000" w:themeColor="text1"/>
                <w:kern w:val="36"/>
                <w:szCs w:val="24"/>
                <w:lang w:bidi="hi-IN"/>
              </w:rPr>
              <w:t>nintedanib</w:t>
            </w:r>
            <w:r w:rsidR="00097560" w:rsidRPr="00481B25">
              <w:rPr>
                <w:rFonts w:ascii="Times New Roman" w:eastAsia="標楷體" w:hAnsi="Times New Roman"/>
                <w:bCs/>
                <w:color w:val="000000" w:themeColor="text1"/>
                <w:kern w:val="36"/>
                <w:szCs w:val="24"/>
                <w:lang w:bidi="hi-IN"/>
              </w:rPr>
              <w:t>、</w:t>
            </w:r>
            <w:r w:rsidR="00097560" w:rsidRPr="00481B25">
              <w:rPr>
                <w:rFonts w:ascii="Times New Roman" w:eastAsia="標楷體" w:hAnsi="Times New Roman"/>
                <w:bCs/>
                <w:color w:val="000000" w:themeColor="text1"/>
                <w:kern w:val="36"/>
                <w:szCs w:val="24"/>
                <w:lang w:bidi="hi-IN"/>
              </w:rPr>
              <w:t>regorafenib</w:t>
            </w:r>
            <w:r w:rsidR="00097560" w:rsidRPr="00481B25">
              <w:rPr>
                <w:rFonts w:ascii="Times New Roman" w:eastAsia="標楷體" w:hAnsi="Times New Roman"/>
                <w:bCs/>
                <w:color w:val="000000" w:themeColor="text1"/>
                <w:kern w:val="36"/>
                <w:szCs w:val="24"/>
                <w:lang w:bidi="hi-IN"/>
              </w:rPr>
              <w:t>、</w:t>
            </w:r>
            <w:r w:rsidR="00097560" w:rsidRPr="00481B25">
              <w:rPr>
                <w:rFonts w:ascii="Times New Roman" w:eastAsia="標楷體" w:hAnsi="Times New Roman"/>
                <w:bCs/>
                <w:color w:val="000000" w:themeColor="text1"/>
                <w:kern w:val="36"/>
                <w:szCs w:val="24"/>
                <w:lang w:bidi="hi-IN"/>
              </w:rPr>
              <w:t>sunitinib</w:t>
            </w:r>
            <w:r w:rsidR="00097560" w:rsidRPr="00481B25">
              <w:rPr>
                <w:rFonts w:ascii="Times New Roman" w:eastAsia="標楷體" w:hAnsi="Times New Roman"/>
                <w:bCs/>
                <w:color w:val="000000" w:themeColor="text1"/>
                <w:kern w:val="36"/>
                <w:szCs w:val="24"/>
                <w:lang w:bidi="hi-IN"/>
              </w:rPr>
              <w:t>、</w:t>
            </w:r>
            <w:r w:rsidR="00097560" w:rsidRPr="00481B25">
              <w:rPr>
                <w:rFonts w:ascii="Times New Roman" w:eastAsia="標楷體" w:hAnsi="Times New Roman"/>
                <w:bCs/>
                <w:color w:val="000000" w:themeColor="text1"/>
                <w:kern w:val="36"/>
                <w:szCs w:val="24"/>
                <w:lang w:bidi="hi-IN"/>
              </w:rPr>
              <w:t>pazopanib</w:t>
            </w:r>
            <w:r w:rsidR="00097560">
              <w:rPr>
                <w:rFonts w:ascii="Times New Roman" w:eastAsia="標楷體" w:hAnsi="Times New Roman" w:hint="eastAsia"/>
                <w:bCs/>
                <w:color w:val="000000" w:themeColor="text1"/>
                <w:kern w:val="36"/>
                <w:szCs w:val="24"/>
                <w:lang w:bidi="hi-IN"/>
              </w:rPr>
              <w:t>及</w:t>
            </w:r>
            <w:r w:rsidR="00097560" w:rsidRPr="00481B25">
              <w:rPr>
                <w:rFonts w:ascii="Times New Roman" w:eastAsia="標楷體" w:hAnsi="Times New Roman"/>
                <w:bCs/>
                <w:color w:val="000000" w:themeColor="text1"/>
                <w:kern w:val="36"/>
                <w:szCs w:val="24"/>
                <w:lang w:bidi="hi-IN"/>
              </w:rPr>
              <w:t>aflibercept</w:t>
            </w:r>
            <w:r w:rsidR="00097560">
              <w:rPr>
                <w:rFonts w:ascii="Times New Roman" w:eastAsia="標楷體" w:hAnsi="Times New Roman" w:hint="eastAsia"/>
                <w:bCs/>
                <w:color w:val="000000" w:themeColor="text1"/>
                <w:kern w:val="36"/>
                <w:szCs w:val="24"/>
                <w:lang w:bidi="hi-IN"/>
              </w:rPr>
              <w:t>。</w:t>
            </w:r>
            <w:r w:rsidR="006426FD">
              <w:rPr>
                <w:rFonts w:ascii="Times New Roman" w:eastAsia="標楷體" w:hAnsi="Times New Roman" w:hint="eastAsia"/>
                <w:bCs/>
                <w:color w:val="000000" w:themeColor="text1"/>
                <w:kern w:val="36"/>
                <w:szCs w:val="24"/>
                <w:lang w:bidi="hi-IN"/>
              </w:rPr>
              <w:t>而現有之證據仍不足以證實用於治療眼睛相關疾病之玻璃體內注射給藥</w:t>
            </w:r>
            <w:r w:rsidR="00097560">
              <w:rPr>
                <w:rFonts w:ascii="Times New Roman" w:eastAsia="標楷體" w:hAnsi="Times New Roman" w:hint="eastAsia"/>
                <w:bCs/>
                <w:color w:val="000000" w:themeColor="text1"/>
                <w:kern w:val="36"/>
                <w:szCs w:val="24"/>
                <w:lang w:bidi="hi-IN"/>
              </w:rPr>
              <w:t>產品</w:t>
            </w:r>
            <w:r w:rsidR="00097560" w:rsidRPr="00B65426">
              <w:rPr>
                <w:rFonts w:ascii="Times New Roman" w:eastAsia="標楷體" w:hAnsi="Times New Roman" w:hint="eastAsia"/>
                <w:bCs/>
                <w:kern w:val="36"/>
                <w:lang w:bidi="hi-IN"/>
              </w:rPr>
              <w:t>（</w:t>
            </w:r>
            <w:r w:rsidR="00097560">
              <w:rPr>
                <w:rFonts w:ascii="Times New Roman" w:eastAsia="標楷體" w:hAnsi="Times New Roman" w:hint="eastAsia"/>
                <w:bCs/>
                <w:kern w:val="36"/>
                <w:lang w:bidi="hi-IN"/>
              </w:rPr>
              <w:t>如</w:t>
            </w:r>
            <w:r w:rsidR="00097560">
              <w:rPr>
                <w:rFonts w:ascii="Times New Roman" w:eastAsia="標楷體" w:hAnsi="Times New Roman" w:hint="eastAsia"/>
                <w:bCs/>
                <w:kern w:val="36"/>
                <w:lang w:bidi="hi-IN"/>
              </w:rPr>
              <w:t>ranibizumab</w:t>
            </w:r>
            <w:r w:rsidR="00097560">
              <w:rPr>
                <w:rFonts w:ascii="Times New Roman" w:eastAsia="標楷體" w:hAnsi="Times New Roman" w:hint="eastAsia"/>
                <w:bCs/>
                <w:kern w:val="36"/>
                <w:lang w:bidi="hi-IN"/>
              </w:rPr>
              <w:t>和</w:t>
            </w:r>
            <w:r w:rsidR="00097560">
              <w:rPr>
                <w:rFonts w:ascii="Times New Roman" w:eastAsia="標楷體" w:hAnsi="Times New Roman" w:hint="eastAsia"/>
                <w:bCs/>
                <w:kern w:val="36"/>
                <w:lang w:bidi="hi-IN"/>
              </w:rPr>
              <w:t>aflibercept</w:t>
            </w:r>
            <w:r w:rsidR="00097560">
              <w:rPr>
                <w:rFonts w:ascii="Times New Roman" w:eastAsia="標楷體" w:hAnsi="Times New Roman" w:hint="eastAsia"/>
                <w:bCs/>
                <w:kern w:val="36"/>
                <w:lang w:bidi="hi-IN"/>
              </w:rPr>
              <w:t>的玻璃體內注射劑</w:t>
            </w:r>
            <w:r w:rsidR="00097560" w:rsidRPr="00B65426">
              <w:rPr>
                <w:rFonts w:ascii="Times New Roman" w:eastAsia="標楷體" w:hAnsi="Times New Roman" w:hint="eastAsia"/>
                <w:bCs/>
                <w:kern w:val="36"/>
                <w:lang w:bidi="hi-IN"/>
              </w:rPr>
              <w:t>）</w:t>
            </w:r>
            <w:r w:rsidR="00097560">
              <w:rPr>
                <w:rFonts w:ascii="Times New Roman" w:eastAsia="標楷體" w:hAnsi="Times New Roman" w:hint="eastAsia"/>
                <w:bCs/>
                <w:kern w:val="36"/>
                <w:lang w:bidi="hi-IN"/>
              </w:rPr>
              <w:t>具有此風險。</w:t>
            </w:r>
          </w:p>
          <w:p w:rsidR="00737DA3" w:rsidRPr="006426FD" w:rsidRDefault="00473192" w:rsidP="003555E5">
            <w:pPr>
              <w:pStyle w:val="a9"/>
              <w:widowControl/>
              <w:numPr>
                <w:ilvl w:val="0"/>
                <w:numId w:val="1"/>
              </w:numPr>
              <w:shd w:val="clear" w:color="auto" w:fill="FFFFFF"/>
              <w:ind w:leftChars="0"/>
              <w:jc w:val="both"/>
              <w:rPr>
                <w:rFonts w:ascii="Times New Roman" w:eastAsia="標楷體" w:hAnsi="Times New Roman"/>
                <w:szCs w:val="24"/>
              </w:rPr>
            </w:pPr>
            <w:r>
              <w:rPr>
                <w:rFonts w:ascii="Times New Roman" w:eastAsia="標楷體" w:hAnsi="Times New Roman" w:hint="eastAsia"/>
                <w:szCs w:val="24"/>
              </w:rPr>
              <w:t>截至</w:t>
            </w:r>
            <w:r>
              <w:rPr>
                <w:rFonts w:ascii="Times New Roman" w:eastAsia="標楷體" w:hAnsi="Times New Roman" w:hint="eastAsia"/>
                <w:szCs w:val="24"/>
              </w:rPr>
              <w:t>2018</w:t>
            </w:r>
            <w:r>
              <w:rPr>
                <w:rFonts w:ascii="Times New Roman" w:eastAsia="標楷體" w:hAnsi="Times New Roman" w:hint="eastAsia"/>
                <w:szCs w:val="24"/>
              </w:rPr>
              <w:t>年</w:t>
            </w:r>
            <w:r>
              <w:rPr>
                <w:rFonts w:ascii="Times New Roman" w:eastAsia="標楷體" w:hAnsi="Times New Roman" w:hint="eastAsia"/>
                <w:szCs w:val="24"/>
              </w:rPr>
              <w:t>12</w:t>
            </w:r>
            <w:r>
              <w:rPr>
                <w:rFonts w:ascii="Times New Roman" w:eastAsia="標楷體" w:hAnsi="Times New Roman" w:hint="eastAsia"/>
                <w:szCs w:val="24"/>
              </w:rPr>
              <w:t>月</w:t>
            </w:r>
            <w:r>
              <w:rPr>
                <w:rFonts w:ascii="Times New Roman" w:eastAsia="標楷體" w:hAnsi="Times New Roman" w:hint="eastAsia"/>
                <w:szCs w:val="24"/>
              </w:rPr>
              <w:t>31</w:t>
            </w:r>
            <w:r>
              <w:rPr>
                <w:rFonts w:ascii="Times New Roman" w:eastAsia="標楷體" w:hAnsi="Times New Roman" w:hint="eastAsia"/>
                <w:szCs w:val="24"/>
              </w:rPr>
              <w:t>日止，</w:t>
            </w:r>
            <w:r w:rsidR="00737DA3">
              <w:rPr>
                <w:rFonts w:ascii="Times New Roman" w:eastAsia="標楷體" w:hAnsi="Times New Roman" w:hint="eastAsia"/>
                <w:szCs w:val="24"/>
              </w:rPr>
              <w:t>歐盟</w:t>
            </w:r>
            <w:r w:rsidR="006426FD">
              <w:rPr>
                <w:rFonts w:ascii="Times New Roman" w:eastAsia="標楷體" w:hAnsi="Times New Roman" w:hint="eastAsia"/>
                <w:szCs w:val="24"/>
              </w:rPr>
              <w:t>藥物</w:t>
            </w:r>
            <w:r>
              <w:rPr>
                <w:rFonts w:ascii="Times New Roman" w:eastAsia="標楷體" w:hAnsi="Times New Roman" w:hint="eastAsia"/>
                <w:szCs w:val="24"/>
              </w:rPr>
              <w:t>不良反應資料庫共接獲</w:t>
            </w:r>
            <w:r>
              <w:rPr>
                <w:rFonts w:ascii="Times New Roman" w:eastAsia="標楷體" w:hAnsi="Times New Roman" w:hint="eastAsia"/>
                <w:szCs w:val="24"/>
              </w:rPr>
              <w:t>660</w:t>
            </w:r>
            <w:r>
              <w:rPr>
                <w:rFonts w:ascii="Times New Roman" w:eastAsia="標楷體" w:hAnsi="Times New Roman" w:hint="eastAsia"/>
                <w:szCs w:val="24"/>
              </w:rPr>
              <w:t>件</w:t>
            </w:r>
            <w:r w:rsidR="00737DA3">
              <w:rPr>
                <w:rFonts w:ascii="Times New Roman" w:eastAsia="標楷體" w:hAnsi="Times New Roman" w:hint="eastAsia"/>
                <w:szCs w:val="24"/>
              </w:rPr>
              <w:t>來自全球</w:t>
            </w:r>
            <w:r>
              <w:rPr>
                <w:rFonts w:ascii="Times New Roman" w:eastAsia="標楷體" w:hAnsi="Times New Roman" w:hint="eastAsia"/>
                <w:szCs w:val="24"/>
              </w:rPr>
              <w:t>各地</w:t>
            </w:r>
            <w:r w:rsidR="00FE64F6">
              <w:rPr>
                <w:rFonts w:ascii="Times New Roman" w:eastAsia="標楷體" w:hAnsi="Times New Roman" w:hint="eastAsia"/>
                <w:szCs w:val="24"/>
              </w:rPr>
              <w:t>疑似使用</w:t>
            </w:r>
            <w:r w:rsidR="00FE64F6">
              <w:rPr>
                <w:rFonts w:ascii="Times New Roman" w:eastAsia="標楷體" w:hint="eastAsia"/>
                <w:bCs/>
                <w:color w:val="000000" w:themeColor="text1"/>
                <w:kern w:val="36"/>
                <w:lang w:bidi="hi-IN"/>
              </w:rPr>
              <w:t>血管內皮生長因子路徑</w:t>
            </w:r>
            <w:r w:rsidR="00FE64F6" w:rsidRPr="00481B25">
              <w:rPr>
                <w:rFonts w:ascii="Times New Roman" w:eastAsia="標楷體" w:hint="eastAsia"/>
                <w:bCs/>
                <w:color w:val="000000" w:themeColor="text1"/>
                <w:kern w:val="36"/>
                <w:lang w:bidi="hi-IN"/>
              </w:rPr>
              <w:t>抑制</w:t>
            </w:r>
            <w:r w:rsidR="00FE64F6" w:rsidRPr="00481B25">
              <w:rPr>
                <w:rFonts w:ascii="Times New Roman" w:eastAsia="標楷體" w:hAnsi="Times New Roman"/>
                <w:bCs/>
                <w:color w:val="000000" w:themeColor="text1"/>
                <w:kern w:val="36"/>
                <w:szCs w:val="24"/>
                <w:lang w:bidi="hi-IN"/>
              </w:rPr>
              <w:t>劑</w:t>
            </w:r>
            <w:r w:rsidR="00FE64F6">
              <w:rPr>
                <w:rFonts w:ascii="Times New Roman" w:eastAsia="標楷體" w:hAnsi="Times New Roman" w:hint="eastAsia"/>
                <w:bCs/>
                <w:color w:val="000000" w:themeColor="text1"/>
                <w:kern w:val="36"/>
                <w:szCs w:val="24"/>
                <w:lang w:bidi="hi-IN"/>
              </w:rPr>
              <w:t>後發生動脈瘤或動脈剝離之案例報告，其中包含致死的案例，主要與主</w:t>
            </w:r>
            <w:r w:rsidR="00FE64F6">
              <w:rPr>
                <w:rFonts w:ascii="Times New Roman" w:eastAsia="標楷體" w:hAnsi="Times New Roman" w:hint="eastAsia"/>
                <w:bCs/>
                <w:color w:val="000000" w:themeColor="text1"/>
                <w:kern w:val="36"/>
                <w:szCs w:val="24"/>
                <w:lang w:bidi="hi-IN"/>
              </w:rPr>
              <w:lastRenderedPageBreak/>
              <w:t>動脈瘤破裂和主動脈剝離相關。</w:t>
            </w:r>
            <w:r w:rsidR="00424053">
              <w:rPr>
                <w:rFonts w:ascii="Times New Roman" w:eastAsia="標楷體" w:hAnsi="Times New Roman" w:hint="eastAsia"/>
                <w:bCs/>
                <w:color w:val="000000" w:themeColor="text1"/>
                <w:kern w:val="36"/>
                <w:szCs w:val="24"/>
                <w:lang w:bidi="hi-IN"/>
              </w:rPr>
              <w:t>回溯</w:t>
            </w:r>
            <w:r w:rsidR="006426FD">
              <w:rPr>
                <w:rFonts w:ascii="Times New Roman" w:eastAsia="標楷體" w:hAnsi="Times New Roman" w:hint="eastAsia"/>
                <w:bCs/>
                <w:color w:val="000000" w:themeColor="text1"/>
                <w:kern w:val="36"/>
                <w:szCs w:val="24"/>
                <w:lang w:bidi="hi-IN"/>
              </w:rPr>
              <w:t>通報</w:t>
            </w:r>
            <w:r w:rsidR="00424053">
              <w:rPr>
                <w:rFonts w:ascii="Times New Roman" w:eastAsia="標楷體" w:hAnsi="Times New Roman" w:hint="eastAsia"/>
                <w:bCs/>
                <w:color w:val="000000" w:themeColor="text1"/>
                <w:kern w:val="36"/>
                <w:szCs w:val="24"/>
                <w:lang w:bidi="hi-IN"/>
              </w:rPr>
              <w:t>個案之病史，發現最常被通報的風險因子為高血壓，其他風險因子尚包括糖尿病、高膽固醇血症</w:t>
            </w:r>
            <w:r>
              <w:rPr>
                <w:rFonts w:ascii="Times New Roman" w:eastAsia="標楷體" w:hAnsi="Times New Roman" w:hint="eastAsia"/>
                <w:bCs/>
                <w:color w:val="000000" w:themeColor="text1"/>
                <w:kern w:val="36"/>
                <w:szCs w:val="24"/>
                <w:lang w:bidi="hi-IN"/>
              </w:rPr>
              <w:t>、高脂血症、主動脈瘤病史、心血管疾病或</w:t>
            </w:r>
            <w:r w:rsidR="006426FD">
              <w:rPr>
                <w:rFonts w:ascii="Times New Roman" w:eastAsia="標楷體" w:hAnsi="Times New Roman" w:hint="eastAsia"/>
                <w:bCs/>
                <w:color w:val="000000" w:themeColor="text1"/>
                <w:kern w:val="36"/>
                <w:szCs w:val="24"/>
                <w:lang w:bidi="hi-IN"/>
              </w:rPr>
              <w:t>吸菸等；而主動脈瘤和主動脈剝離較常被通報發生在</w:t>
            </w:r>
            <w:r w:rsidR="00424053">
              <w:rPr>
                <w:rFonts w:ascii="Times New Roman" w:eastAsia="標楷體" w:hAnsi="Times New Roman" w:hint="eastAsia"/>
                <w:bCs/>
                <w:color w:val="000000" w:themeColor="text1"/>
                <w:kern w:val="36"/>
                <w:szCs w:val="24"/>
                <w:lang w:bidi="hi-IN"/>
              </w:rPr>
              <w:t>65</w:t>
            </w:r>
            <w:r w:rsidR="00424053">
              <w:rPr>
                <w:rFonts w:ascii="Times New Roman" w:eastAsia="標楷體" w:hAnsi="Times New Roman" w:hint="eastAsia"/>
                <w:bCs/>
                <w:color w:val="000000" w:themeColor="text1"/>
                <w:kern w:val="36"/>
                <w:szCs w:val="24"/>
                <w:lang w:bidi="hi-IN"/>
              </w:rPr>
              <w:t>歲以上之老年人族群。</w:t>
            </w:r>
          </w:p>
          <w:p w:rsidR="008F6F03" w:rsidRPr="00D62331" w:rsidRDefault="00424053" w:rsidP="003555E5">
            <w:pPr>
              <w:pStyle w:val="a9"/>
              <w:widowControl/>
              <w:numPr>
                <w:ilvl w:val="0"/>
                <w:numId w:val="1"/>
              </w:numPr>
              <w:shd w:val="clear" w:color="auto" w:fill="FFFFFF"/>
              <w:ind w:leftChars="0"/>
              <w:jc w:val="both"/>
              <w:rPr>
                <w:rFonts w:ascii="Times New Roman" w:eastAsia="標楷體" w:hAnsi="Times New Roman"/>
                <w:szCs w:val="24"/>
              </w:rPr>
            </w:pPr>
            <w:r w:rsidRPr="00D62331">
              <w:rPr>
                <w:rFonts w:ascii="Times New Roman" w:eastAsia="標楷體" w:hAnsi="Times New Roman" w:hint="eastAsia"/>
                <w:kern w:val="0"/>
                <w:szCs w:val="24"/>
              </w:rPr>
              <w:t>全身性投予</w:t>
            </w:r>
            <w:r w:rsidRPr="00D62331">
              <w:rPr>
                <w:rFonts w:ascii="Times New Roman" w:eastAsia="標楷體" w:hint="eastAsia"/>
                <w:bCs/>
                <w:kern w:val="36"/>
                <w:lang w:bidi="hi-IN"/>
              </w:rPr>
              <w:t>血管內皮生長因子路徑抑制</w:t>
            </w:r>
            <w:r w:rsidRPr="00D62331">
              <w:rPr>
                <w:rFonts w:ascii="Times New Roman" w:eastAsia="標楷體" w:hAnsi="Times New Roman"/>
                <w:bCs/>
                <w:kern w:val="36"/>
                <w:szCs w:val="24"/>
                <w:lang w:bidi="hi-IN"/>
              </w:rPr>
              <w:t>劑</w:t>
            </w:r>
            <w:r w:rsidR="0051614F">
              <w:rPr>
                <w:rFonts w:ascii="Times New Roman" w:eastAsia="標楷體" w:hAnsi="Times New Roman" w:hint="eastAsia"/>
                <w:bCs/>
                <w:kern w:val="36"/>
                <w:szCs w:val="24"/>
                <w:lang w:bidi="hi-IN"/>
              </w:rPr>
              <w:t>類藥品</w:t>
            </w:r>
            <w:r w:rsidRPr="00D62331">
              <w:rPr>
                <w:rFonts w:ascii="Times New Roman" w:eastAsia="標楷體" w:hAnsi="Times New Roman" w:hint="eastAsia"/>
                <w:bCs/>
                <w:kern w:val="36"/>
                <w:szCs w:val="24"/>
                <w:lang w:bidi="hi-IN"/>
              </w:rPr>
              <w:t>導致動脈瘤或動脈剝離之機轉尚不明確，但可能與</w:t>
            </w:r>
            <w:r w:rsidR="000973BD">
              <w:rPr>
                <w:rFonts w:ascii="Times New Roman" w:eastAsia="標楷體" w:hAnsi="Times New Roman" w:hint="eastAsia"/>
                <w:bCs/>
                <w:kern w:val="36"/>
                <w:szCs w:val="24"/>
                <w:lang w:bidi="hi-IN"/>
              </w:rPr>
              <w:t>血管壁</w:t>
            </w:r>
            <w:r w:rsidR="00D62331" w:rsidRPr="00D62331">
              <w:rPr>
                <w:rFonts w:ascii="Times New Roman" w:eastAsia="標楷體" w:hAnsi="Times New Roman" w:hint="eastAsia"/>
                <w:bCs/>
                <w:kern w:val="36"/>
                <w:szCs w:val="24"/>
                <w:lang w:bidi="hi-IN"/>
              </w:rPr>
              <w:t>受損</w:t>
            </w:r>
            <w:r w:rsidR="000973BD">
              <w:rPr>
                <w:rFonts w:ascii="Times New Roman" w:eastAsia="標楷體" w:hAnsi="Times New Roman" w:hint="eastAsia"/>
                <w:bCs/>
                <w:kern w:val="36"/>
                <w:szCs w:val="24"/>
                <w:lang w:bidi="hi-IN"/>
              </w:rPr>
              <w:t>程度</w:t>
            </w:r>
            <w:r w:rsidR="00D62331" w:rsidRPr="00D62331">
              <w:rPr>
                <w:rFonts w:ascii="Times New Roman" w:eastAsia="標楷體" w:hAnsi="Times New Roman" w:hint="eastAsia"/>
                <w:bCs/>
                <w:kern w:val="36"/>
                <w:szCs w:val="24"/>
                <w:lang w:bidi="hi-IN"/>
              </w:rPr>
              <w:t>、</w:t>
            </w:r>
            <w:r w:rsidRPr="00D62331">
              <w:rPr>
                <w:rFonts w:ascii="Times New Roman" w:eastAsia="標楷體" w:hAnsi="Times New Roman" w:hint="eastAsia"/>
                <w:bCs/>
                <w:kern w:val="36"/>
                <w:szCs w:val="24"/>
                <w:lang w:bidi="hi-IN"/>
              </w:rPr>
              <w:t>高血壓或</w:t>
            </w:r>
            <w:r w:rsidR="00F55C4A" w:rsidRPr="00D62331">
              <w:rPr>
                <w:rFonts w:ascii="Times New Roman" w:eastAsia="標楷體" w:hAnsi="Times New Roman" w:hint="eastAsia"/>
                <w:bCs/>
                <w:kern w:val="36"/>
                <w:szCs w:val="24"/>
                <w:lang w:bidi="hi-IN"/>
              </w:rPr>
              <w:t>原有</w:t>
            </w:r>
            <w:r w:rsidRPr="00D62331">
              <w:rPr>
                <w:rFonts w:ascii="Times New Roman" w:eastAsia="標楷體" w:hAnsi="Times New Roman" w:hint="eastAsia"/>
                <w:bCs/>
                <w:kern w:val="36"/>
                <w:szCs w:val="24"/>
                <w:lang w:bidi="hi-IN"/>
              </w:rPr>
              <w:t>高血壓惡化</w:t>
            </w:r>
            <w:r w:rsidR="00F55C4A" w:rsidRPr="00D62331">
              <w:rPr>
                <w:rFonts w:ascii="Times New Roman" w:eastAsia="標楷體" w:hAnsi="Times New Roman" w:hint="eastAsia"/>
                <w:bCs/>
                <w:kern w:val="36"/>
                <w:szCs w:val="24"/>
                <w:lang w:bidi="hi-IN"/>
              </w:rPr>
              <w:t>有關</w:t>
            </w:r>
            <w:r w:rsidR="0051614F">
              <w:rPr>
                <w:rFonts w:ascii="Times New Roman" w:eastAsia="標楷體" w:hAnsi="Times New Roman" w:hint="eastAsia"/>
                <w:bCs/>
                <w:kern w:val="36"/>
                <w:szCs w:val="24"/>
                <w:lang w:bidi="hi-IN"/>
              </w:rPr>
              <w:t>，</w:t>
            </w:r>
            <w:r w:rsidR="00AD3BC6">
              <w:rPr>
                <w:rFonts w:ascii="Times New Roman" w:eastAsia="標楷體" w:hAnsi="Times New Roman" w:hint="eastAsia"/>
                <w:bCs/>
                <w:kern w:val="36"/>
                <w:szCs w:val="24"/>
                <w:lang w:bidi="hi-IN"/>
              </w:rPr>
              <w:t>惟</w:t>
            </w:r>
            <w:r w:rsidR="0051614F">
              <w:rPr>
                <w:rFonts w:ascii="Times New Roman" w:eastAsia="標楷體" w:hAnsi="Times New Roman" w:hint="eastAsia"/>
                <w:bCs/>
                <w:kern w:val="36"/>
                <w:szCs w:val="24"/>
                <w:lang w:bidi="hi-IN"/>
              </w:rPr>
              <w:t>目前</w:t>
            </w:r>
            <w:r w:rsidR="0051614F">
              <w:rPr>
                <w:rFonts w:ascii="Times New Roman" w:eastAsia="標楷體" w:hAnsi="Times New Roman" w:hint="eastAsia"/>
                <w:szCs w:val="24"/>
              </w:rPr>
              <w:t>難以</w:t>
            </w:r>
            <w:r w:rsidR="0051614F" w:rsidRPr="000C4C68">
              <w:rPr>
                <w:rFonts w:ascii="Times New Roman" w:eastAsia="標楷體" w:hAnsi="Times New Roman" w:hint="eastAsia"/>
                <w:szCs w:val="24"/>
              </w:rPr>
              <w:t>估算</w:t>
            </w:r>
            <w:r w:rsidR="0051614F">
              <w:rPr>
                <w:rFonts w:ascii="Times New Roman" w:eastAsia="標楷體" w:hAnsi="Times New Roman" w:hint="eastAsia"/>
                <w:color w:val="000000"/>
                <w:kern w:val="0"/>
                <w:szCs w:val="24"/>
              </w:rPr>
              <w:t>其</w:t>
            </w:r>
            <w:r w:rsidR="0051614F">
              <w:rPr>
                <w:rFonts w:ascii="Times New Roman" w:eastAsia="標楷體" w:hAnsi="Times New Roman" w:hint="eastAsia"/>
                <w:bCs/>
                <w:color w:val="000000" w:themeColor="text1"/>
                <w:kern w:val="36"/>
                <w:szCs w:val="24"/>
                <w:lang w:bidi="hi-IN"/>
              </w:rPr>
              <w:t>風險大小。</w:t>
            </w:r>
          </w:p>
          <w:p w:rsidR="004E33E0" w:rsidRPr="008C2A7F" w:rsidRDefault="00097560" w:rsidP="003555E5">
            <w:pPr>
              <w:pStyle w:val="a9"/>
              <w:widowControl/>
              <w:numPr>
                <w:ilvl w:val="0"/>
                <w:numId w:val="1"/>
              </w:numPr>
              <w:shd w:val="clear" w:color="auto" w:fill="FFFFFF"/>
              <w:ind w:leftChars="0"/>
              <w:jc w:val="both"/>
              <w:rPr>
                <w:rFonts w:ascii="Times New Roman" w:eastAsia="標楷體" w:hAnsi="Times New Roman"/>
                <w:szCs w:val="24"/>
              </w:rPr>
            </w:pPr>
            <w:r>
              <w:rPr>
                <w:rFonts w:ascii="Times New Roman" w:eastAsia="標楷體" w:hAnsi="Times New Roman" w:hint="eastAsia"/>
                <w:color w:val="000000"/>
                <w:kern w:val="0"/>
                <w:szCs w:val="24"/>
              </w:rPr>
              <w:t>考量上述嚴重風險，</w:t>
            </w:r>
            <w:r w:rsidR="0002377F">
              <w:rPr>
                <w:rFonts w:ascii="Times New Roman" w:eastAsia="標楷體" w:hAnsi="Times New Roman" w:hint="eastAsia"/>
                <w:color w:val="000000"/>
                <w:kern w:val="0"/>
                <w:szCs w:val="24"/>
              </w:rPr>
              <w:t>歐洲已更新所有</w:t>
            </w:r>
            <w:r>
              <w:rPr>
                <w:rFonts w:ascii="Times New Roman" w:eastAsia="標楷體" w:hAnsi="Times New Roman" w:hint="eastAsia"/>
                <w:color w:val="000000"/>
                <w:kern w:val="0"/>
                <w:szCs w:val="24"/>
              </w:rPr>
              <w:t>全身性投予</w:t>
            </w:r>
            <w:r w:rsidR="0002377F">
              <w:rPr>
                <w:rFonts w:ascii="Times New Roman" w:eastAsia="標楷體" w:hAnsi="Times New Roman" w:hint="eastAsia"/>
                <w:color w:val="000000"/>
                <w:kern w:val="0"/>
                <w:szCs w:val="24"/>
              </w:rPr>
              <w:t>之</w:t>
            </w:r>
            <w:r>
              <w:rPr>
                <w:rFonts w:ascii="Times New Roman" w:eastAsia="標楷體" w:hint="eastAsia"/>
                <w:bCs/>
                <w:color w:val="000000" w:themeColor="text1"/>
                <w:kern w:val="36"/>
                <w:lang w:bidi="hi-IN"/>
              </w:rPr>
              <w:t>血管內皮生長因子路徑</w:t>
            </w:r>
            <w:r w:rsidRPr="00481B25">
              <w:rPr>
                <w:rFonts w:ascii="Times New Roman" w:eastAsia="標楷體" w:hint="eastAsia"/>
                <w:bCs/>
                <w:color w:val="000000" w:themeColor="text1"/>
                <w:kern w:val="36"/>
                <w:lang w:bidi="hi-IN"/>
              </w:rPr>
              <w:t>抑制</w:t>
            </w:r>
            <w:r w:rsidRPr="00481B25">
              <w:rPr>
                <w:rFonts w:ascii="Times New Roman" w:eastAsia="標楷體" w:hAnsi="Times New Roman"/>
                <w:bCs/>
                <w:color w:val="000000" w:themeColor="text1"/>
                <w:kern w:val="36"/>
                <w:szCs w:val="24"/>
                <w:lang w:bidi="hi-IN"/>
              </w:rPr>
              <w:t>劑</w:t>
            </w:r>
            <w:r w:rsidR="008C2A7F">
              <w:rPr>
                <w:rFonts w:ascii="Times New Roman" w:eastAsia="標楷體" w:hAnsi="Times New Roman" w:hint="eastAsia"/>
                <w:bCs/>
                <w:color w:val="000000" w:themeColor="text1"/>
                <w:kern w:val="36"/>
                <w:szCs w:val="24"/>
                <w:lang w:bidi="hi-IN"/>
              </w:rPr>
              <w:t>類藥品之</w:t>
            </w:r>
            <w:r w:rsidR="0002377F">
              <w:rPr>
                <w:rFonts w:ascii="Times New Roman" w:eastAsia="標楷體" w:hAnsi="Times New Roman" w:hint="eastAsia"/>
                <w:bCs/>
                <w:color w:val="000000" w:themeColor="text1"/>
                <w:kern w:val="36"/>
                <w:szCs w:val="24"/>
                <w:lang w:bidi="hi-IN"/>
              </w:rPr>
              <w:t>仿單</w:t>
            </w:r>
            <w:r>
              <w:rPr>
                <w:rFonts w:ascii="Times New Roman" w:eastAsia="標楷體" w:hAnsi="Times New Roman" w:hint="eastAsia"/>
                <w:bCs/>
                <w:color w:val="000000" w:themeColor="text1"/>
                <w:kern w:val="36"/>
                <w:szCs w:val="24"/>
                <w:lang w:bidi="hi-IN"/>
              </w:rPr>
              <w:t>以包含</w:t>
            </w:r>
            <w:r w:rsidR="00473192">
              <w:rPr>
                <w:rFonts w:ascii="Times New Roman" w:eastAsia="標楷體" w:hAnsi="Times New Roman" w:hint="eastAsia"/>
                <w:bCs/>
                <w:color w:val="000000" w:themeColor="text1"/>
                <w:kern w:val="36"/>
                <w:szCs w:val="24"/>
                <w:lang w:bidi="hi-IN"/>
              </w:rPr>
              <w:t>動脈瘤和動脈剝離風險</w:t>
            </w:r>
            <w:r w:rsidR="008D165A">
              <w:rPr>
                <w:rFonts w:ascii="Times New Roman" w:eastAsia="標楷體" w:hAnsi="Times New Roman" w:hint="eastAsia"/>
                <w:bCs/>
                <w:color w:val="000000" w:themeColor="text1"/>
                <w:kern w:val="36"/>
                <w:szCs w:val="24"/>
                <w:lang w:bidi="hi-IN"/>
              </w:rPr>
              <w:t>，並建議具風險因子</w:t>
            </w:r>
            <w:r w:rsidR="008D165A" w:rsidRPr="00B65426">
              <w:rPr>
                <w:rFonts w:ascii="Times New Roman" w:eastAsia="標楷體" w:hAnsi="Times New Roman" w:hint="eastAsia"/>
                <w:bCs/>
                <w:kern w:val="36"/>
                <w:lang w:bidi="hi-IN"/>
              </w:rPr>
              <w:t>（</w:t>
            </w:r>
            <w:r w:rsidR="008D165A">
              <w:rPr>
                <w:rFonts w:ascii="Times New Roman" w:eastAsia="標楷體" w:hAnsi="Times New Roman" w:hint="eastAsia"/>
                <w:bCs/>
                <w:kern w:val="36"/>
                <w:lang w:bidi="hi-IN"/>
              </w:rPr>
              <w:t>如高血壓</w:t>
            </w:r>
            <w:r w:rsidR="008D165A" w:rsidRPr="00B65426">
              <w:rPr>
                <w:rFonts w:ascii="Times New Roman" w:eastAsia="標楷體" w:hAnsi="Times New Roman" w:hint="eastAsia"/>
                <w:bCs/>
                <w:kern w:val="36"/>
                <w:lang w:bidi="hi-IN"/>
              </w:rPr>
              <w:t>）</w:t>
            </w:r>
            <w:r w:rsidR="008D165A">
              <w:rPr>
                <w:rFonts w:ascii="Times New Roman" w:eastAsia="標楷體" w:hAnsi="Times New Roman" w:hint="eastAsia"/>
                <w:bCs/>
                <w:color w:val="000000" w:themeColor="text1"/>
                <w:kern w:val="36"/>
                <w:szCs w:val="24"/>
                <w:lang w:bidi="hi-IN"/>
              </w:rPr>
              <w:t>之病人在開始使用</w:t>
            </w:r>
            <w:r w:rsidR="0002377F">
              <w:rPr>
                <w:rFonts w:ascii="Times New Roman" w:eastAsia="標楷體" w:hAnsi="Times New Roman" w:hint="eastAsia"/>
                <w:bCs/>
                <w:color w:val="000000" w:themeColor="text1"/>
                <w:kern w:val="36"/>
                <w:szCs w:val="24"/>
                <w:lang w:bidi="hi-IN"/>
              </w:rPr>
              <w:t>此</w:t>
            </w:r>
            <w:r w:rsidR="008D165A">
              <w:rPr>
                <w:rFonts w:ascii="Times New Roman" w:eastAsia="標楷體" w:hAnsi="Times New Roman" w:hint="eastAsia"/>
                <w:bCs/>
                <w:color w:val="000000" w:themeColor="text1"/>
                <w:kern w:val="36"/>
                <w:szCs w:val="24"/>
                <w:lang w:bidi="hi-IN"/>
              </w:rPr>
              <w:t>類藥品前應審慎考量相關風險</w:t>
            </w:r>
            <w:r w:rsidR="008F6F03">
              <w:rPr>
                <w:rFonts w:ascii="Times New Roman" w:eastAsia="標楷體" w:hAnsi="Times New Roman" w:hint="eastAsia"/>
                <w:color w:val="000000"/>
                <w:kern w:val="0"/>
                <w:szCs w:val="24"/>
              </w:rPr>
              <w:t>，</w:t>
            </w:r>
            <w:r w:rsidR="008D165A">
              <w:rPr>
                <w:rFonts w:ascii="Times New Roman" w:eastAsia="標楷體" w:hAnsi="Times New Roman" w:hint="eastAsia"/>
                <w:color w:val="000000"/>
                <w:kern w:val="0"/>
                <w:szCs w:val="24"/>
              </w:rPr>
              <w:t>而正在接受全身性投予</w:t>
            </w:r>
            <w:r w:rsidR="0002377F">
              <w:rPr>
                <w:rFonts w:ascii="Times New Roman" w:eastAsia="標楷體" w:hAnsi="Times New Roman" w:hint="eastAsia"/>
                <w:bCs/>
                <w:color w:val="000000" w:themeColor="text1"/>
                <w:kern w:val="36"/>
                <w:szCs w:val="24"/>
                <w:lang w:bidi="hi-IN"/>
              </w:rPr>
              <w:t>此</w:t>
            </w:r>
            <w:r w:rsidR="008D165A">
              <w:rPr>
                <w:rFonts w:ascii="Times New Roman" w:eastAsia="標楷體" w:hAnsi="Times New Roman" w:hint="eastAsia"/>
                <w:bCs/>
                <w:color w:val="000000" w:themeColor="text1"/>
                <w:kern w:val="36"/>
                <w:szCs w:val="24"/>
                <w:lang w:bidi="hi-IN"/>
              </w:rPr>
              <w:t>類藥品治療之病人應密切監測並盡可能減少可調控之風險因子</w:t>
            </w:r>
            <w:r w:rsidR="0002377F" w:rsidRPr="00B65426">
              <w:rPr>
                <w:rFonts w:ascii="Times New Roman" w:eastAsia="標楷體" w:hAnsi="Times New Roman" w:hint="eastAsia"/>
                <w:bCs/>
                <w:kern w:val="36"/>
                <w:lang w:bidi="hi-IN"/>
              </w:rPr>
              <w:t>（</w:t>
            </w:r>
            <w:r w:rsidR="0002377F">
              <w:rPr>
                <w:rFonts w:ascii="Times New Roman" w:eastAsia="標楷體" w:hAnsi="Times New Roman" w:hint="eastAsia"/>
                <w:bCs/>
                <w:kern w:val="36"/>
                <w:lang w:bidi="hi-IN"/>
              </w:rPr>
              <w:t>如高血壓和抽菸</w:t>
            </w:r>
            <w:r w:rsidR="0002377F" w:rsidRPr="00B65426">
              <w:rPr>
                <w:rFonts w:ascii="Times New Roman" w:eastAsia="標楷體" w:hAnsi="Times New Roman" w:hint="eastAsia"/>
                <w:bCs/>
                <w:kern w:val="36"/>
                <w:lang w:bidi="hi-IN"/>
              </w:rPr>
              <w:t>）</w:t>
            </w:r>
            <w:r w:rsidR="002779B3">
              <w:rPr>
                <w:rFonts w:ascii="Times New Roman" w:eastAsia="標楷體" w:hAnsi="Times New Roman" w:hint="eastAsia"/>
                <w:color w:val="000000" w:themeColor="text1"/>
              </w:rPr>
              <w:t>。</w:t>
            </w:r>
          </w:p>
        </w:tc>
      </w:tr>
      <w:tr w:rsidR="008C2A7F" w:rsidRPr="00136184" w:rsidTr="00CB2324">
        <w:trPr>
          <w:trHeight w:val="896"/>
          <w:jc w:val="center"/>
        </w:trPr>
        <w:tc>
          <w:tcPr>
            <w:tcW w:w="2413" w:type="dxa"/>
            <w:vAlign w:val="center"/>
          </w:tcPr>
          <w:p w:rsidR="008C2A7F" w:rsidRDefault="008C2A7F" w:rsidP="009424B6">
            <w:pPr>
              <w:jc w:val="center"/>
              <w:rPr>
                <w:rFonts w:ascii="Times New Roman" w:eastAsia="標楷體" w:hAnsi="標楷體"/>
              </w:rPr>
            </w:pPr>
            <w:r>
              <w:rPr>
                <w:rFonts w:ascii="Times New Roman" w:eastAsia="標楷體" w:hAnsi="標楷體" w:hint="eastAsia"/>
              </w:rPr>
              <w:lastRenderedPageBreak/>
              <w:t>食品藥物管理署</w:t>
            </w:r>
          </w:p>
          <w:p w:rsidR="008C2A7F" w:rsidRPr="00B57AEE" w:rsidRDefault="008C2A7F" w:rsidP="009424B6">
            <w:pPr>
              <w:jc w:val="center"/>
              <w:rPr>
                <w:rFonts w:ascii="Times New Roman" w:eastAsia="標楷體" w:hAnsi="標楷體"/>
              </w:rPr>
            </w:pPr>
            <w:r>
              <w:rPr>
                <w:rFonts w:ascii="Times New Roman" w:eastAsia="標楷體" w:hAnsi="標楷體" w:hint="eastAsia"/>
              </w:rPr>
              <w:t>風險溝通說明</w:t>
            </w:r>
          </w:p>
        </w:tc>
        <w:tc>
          <w:tcPr>
            <w:tcW w:w="7316" w:type="dxa"/>
          </w:tcPr>
          <w:p w:rsidR="008C2A7F" w:rsidRDefault="008C2A7F" w:rsidP="008C2A7F">
            <w:pPr>
              <w:pStyle w:val="Web"/>
              <w:spacing w:before="0" w:beforeAutospacing="0" w:after="0" w:afterAutospacing="0" w:line="400" w:lineRule="exact"/>
              <w:rPr>
                <w:rFonts w:ascii="標楷體" w:eastAsia="標楷體" w:hAnsi="標楷體" w:cs="Times New Roman"/>
                <w:b/>
                <w:bCs/>
                <w:color w:val="000000"/>
                <w:u w:val="single"/>
              </w:rPr>
            </w:pPr>
            <w:r>
              <w:rPr>
                <w:rFonts w:ascii="標楷體" w:eastAsia="標楷體" w:hAnsi="標楷體" w:cs="Times New Roman" w:hint="eastAsia"/>
                <w:bCs/>
                <w:color w:val="000000"/>
              </w:rPr>
              <w:t>◎</w:t>
            </w:r>
            <w:r>
              <w:rPr>
                <w:rFonts w:ascii="標楷體" w:eastAsia="標楷體" w:hAnsi="標楷體" w:cs="Times New Roman" w:hint="eastAsia"/>
                <w:b/>
                <w:bCs/>
                <w:color w:val="000000"/>
                <w:u w:val="single"/>
              </w:rPr>
              <w:t>食品藥物管理署說明：</w:t>
            </w:r>
          </w:p>
          <w:p w:rsidR="008C2A7F" w:rsidRDefault="008C2A7F" w:rsidP="003555E5">
            <w:pPr>
              <w:pStyle w:val="a9"/>
              <w:widowControl/>
              <w:numPr>
                <w:ilvl w:val="0"/>
                <w:numId w:val="20"/>
              </w:numPr>
              <w:shd w:val="clear" w:color="auto" w:fill="FFFFFF"/>
              <w:ind w:leftChars="0"/>
              <w:jc w:val="both"/>
              <w:rPr>
                <w:rFonts w:ascii="Times New Roman" w:eastAsia="標楷體" w:hAnsi="Times New Roman"/>
                <w:color w:val="000000"/>
                <w:kern w:val="0"/>
                <w:szCs w:val="24"/>
              </w:rPr>
            </w:pPr>
            <w:r w:rsidRPr="008C2A7F">
              <w:rPr>
                <w:rFonts w:ascii="Times New Roman" w:eastAsia="標楷體" w:hAnsi="Times New Roman" w:hint="eastAsia"/>
                <w:color w:val="000000"/>
                <w:kern w:val="0"/>
                <w:szCs w:val="24"/>
              </w:rPr>
              <w:t>經查，我國核准</w:t>
            </w:r>
            <w:r w:rsidR="0026780F" w:rsidRPr="0026780F">
              <w:rPr>
                <w:rFonts w:ascii="Times New Roman" w:eastAsia="標楷體" w:hAnsi="Times New Roman" w:hint="eastAsia"/>
                <w:color w:val="000000"/>
                <w:kern w:val="0"/>
                <w:szCs w:val="24"/>
              </w:rPr>
              <w:t>血管內皮生長因子路徑抑制劑類藥品</w:t>
            </w:r>
            <w:r w:rsidRPr="008C2A7F">
              <w:rPr>
                <w:rFonts w:ascii="Times New Roman" w:eastAsia="標楷體" w:hAnsi="Times New Roman" w:hint="eastAsia"/>
                <w:color w:val="000000"/>
                <w:kern w:val="0"/>
                <w:szCs w:val="24"/>
              </w:rPr>
              <w:t>許可證共</w:t>
            </w:r>
            <w:r w:rsidR="00173D51">
              <w:rPr>
                <w:rFonts w:ascii="Times New Roman" w:eastAsia="標楷體" w:hAnsi="Times New Roman"/>
                <w:color w:val="000000"/>
                <w:kern w:val="0"/>
                <w:szCs w:val="24"/>
              </w:rPr>
              <w:t>2</w:t>
            </w:r>
            <w:r w:rsidR="00173D51">
              <w:rPr>
                <w:rFonts w:ascii="Times New Roman" w:eastAsia="標楷體" w:hAnsi="Times New Roman" w:hint="eastAsia"/>
                <w:color w:val="000000"/>
                <w:kern w:val="0"/>
                <w:szCs w:val="24"/>
              </w:rPr>
              <w:t>4</w:t>
            </w:r>
            <w:r w:rsidRPr="008C2A7F">
              <w:rPr>
                <w:rFonts w:ascii="Times New Roman" w:eastAsia="標楷體" w:hAnsi="Times New Roman" w:hint="eastAsia"/>
                <w:color w:val="000000"/>
                <w:kern w:val="0"/>
                <w:szCs w:val="24"/>
              </w:rPr>
              <w:t>張（排除用於治療眼睛疾患之</w:t>
            </w:r>
            <w:r w:rsidRPr="008C2A7F">
              <w:rPr>
                <w:rFonts w:ascii="Times New Roman" w:eastAsia="標楷體" w:hAnsi="Times New Roman"/>
                <w:color w:val="000000"/>
                <w:kern w:val="0"/>
                <w:szCs w:val="24"/>
              </w:rPr>
              <w:t>aflibercept</w:t>
            </w:r>
            <w:r w:rsidRPr="008C2A7F">
              <w:rPr>
                <w:rFonts w:ascii="Times New Roman" w:eastAsia="標楷體" w:hAnsi="Times New Roman" w:hint="eastAsia"/>
                <w:color w:val="000000"/>
                <w:kern w:val="0"/>
                <w:szCs w:val="24"/>
              </w:rPr>
              <w:t>許可證</w:t>
            </w:r>
            <w:r w:rsidRPr="008C2A7F">
              <w:rPr>
                <w:rFonts w:ascii="Times New Roman" w:eastAsia="標楷體" w:hAnsi="Times New Roman"/>
                <w:color w:val="000000"/>
                <w:kern w:val="0"/>
                <w:szCs w:val="24"/>
              </w:rPr>
              <w:t>2</w:t>
            </w:r>
            <w:r w:rsidRPr="008C2A7F">
              <w:rPr>
                <w:rFonts w:ascii="Times New Roman" w:eastAsia="標楷體" w:hAnsi="Times New Roman" w:hint="eastAsia"/>
                <w:color w:val="000000"/>
                <w:kern w:val="0"/>
                <w:szCs w:val="24"/>
              </w:rPr>
              <w:t>張，因其現有證據不足以證實其具有該風險），其中包含</w:t>
            </w:r>
            <w:r w:rsidRPr="008C2A7F">
              <w:rPr>
                <w:rFonts w:ascii="Times New Roman" w:eastAsia="標楷體" w:hAnsi="Times New Roman"/>
                <w:color w:val="000000"/>
                <w:kern w:val="0"/>
                <w:szCs w:val="24"/>
              </w:rPr>
              <w:t>bevacizumab</w:t>
            </w:r>
            <w:r w:rsidRPr="008C2A7F">
              <w:rPr>
                <w:rFonts w:ascii="Times New Roman" w:eastAsia="標楷體" w:hAnsi="Times New Roman" w:hint="eastAsia"/>
                <w:color w:val="000000"/>
                <w:kern w:val="0"/>
                <w:szCs w:val="24"/>
              </w:rPr>
              <w:t>、</w:t>
            </w:r>
            <w:r w:rsidRPr="008C2A7F">
              <w:rPr>
                <w:rFonts w:ascii="Times New Roman" w:eastAsia="標楷體" w:hAnsi="Times New Roman"/>
                <w:color w:val="000000"/>
                <w:kern w:val="0"/>
                <w:szCs w:val="24"/>
              </w:rPr>
              <w:t>vandetanib</w:t>
            </w:r>
            <w:r w:rsidRPr="008C2A7F">
              <w:rPr>
                <w:rFonts w:ascii="Times New Roman" w:eastAsia="標楷體" w:hAnsi="Times New Roman" w:hint="eastAsia"/>
                <w:color w:val="000000"/>
                <w:kern w:val="0"/>
                <w:szCs w:val="24"/>
              </w:rPr>
              <w:t>、</w:t>
            </w:r>
            <w:r w:rsidRPr="008C2A7F">
              <w:rPr>
                <w:rFonts w:ascii="Times New Roman" w:eastAsia="標楷體" w:hAnsi="Times New Roman"/>
                <w:color w:val="000000"/>
                <w:kern w:val="0"/>
                <w:szCs w:val="24"/>
              </w:rPr>
              <w:t>cabozantinib</w:t>
            </w:r>
            <w:r w:rsidRPr="008C2A7F">
              <w:rPr>
                <w:rFonts w:ascii="Times New Roman" w:eastAsia="標楷體" w:hAnsi="Times New Roman" w:hint="eastAsia"/>
                <w:color w:val="000000"/>
                <w:kern w:val="0"/>
                <w:szCs w:val="24"/>
              </w:rPr>
              <w:t>、</w:t>
            </w:r>
            <w:r w:rsidRPr="008C2A7F">
              <w:rPr>
                <w:rFonts w:ascii="Times New Roman" w:eastAsia="標楷體" w:hAnsi="Times New Roman"/>
                <w:color w:val="000000"/>
                <w:kern w:val="0"/>
                <w:szCs w:val="24"/>
              </w:rPr>
              <w:t>ramucirumab</w:t>
            </w:r>
            <w:r w:rsidRPr="008C2A7F">
              <w:rPr>
                <w:rFonts w:ascii="Times New Roman" w:eastAsia="標楷體" w:hAnsi="Times New Roman" w:hint="eastAsia"/>
                <w:color w:val="000000"/>
                <w:kern w:val="0"/>
                <w:szCs w:val="24"/>
              </w:rPr>
              <w:t>、</w:t>
            </w:r>
            <w:r w:rsidRPr="008C2A7F">
              <w:rPr>
                <w:rFonts w:ascii="Times New Roman" w:eastAsia="標楷體" w:hAnsi="Times New Roman"/>
                <w:color w:val="000000"/>
                <w:kern w:val="0"/>
                <w:szCs w:val="24"/>
              </w:rPr>
              <w:t>ponatinib</w:t>
            </w:r>
            <w:r w:rsidRPr="008C2A7F">
              <w:rPr>
                <w:rFonts w:ascii="Times New Roman" w:eastAsia="標楷體" w:hAnsi="Times New Roman" w:hint="eastAsia"/>
                <w:color w:val="000000"/>
                <w:kern w:val="0"/>
                <w:szCs w:val="24"/>
              </w:rPr>
              <w:t>、</w:t>
            </w:r>
            <w:r w:rsidRPr="008C2A7F">
              <w:rPr>
                <w:rFonts w:ascii="Times New Roman" w:eastAsia="標楷體" w:hAnsi="Times New Roman"/>
                <w:color w:val="000000"/>
                <w:kern w:val="0"/>
                <w:szCs w:val="24"/>
              </w:rPr>
              <w:t>axitinib</w:t>
            </w:r>
            <w:r w:rsidRPr="008C2A7F">
              <w:rPr>
                <w:rFonts w:ascii="Times New Roman" w:eastAsia="標楷體" w:hAnsi="Times New Roman" w:hint="eastAsia"/>
                <w:color w:val="000000"/>
                <w:kern w:val="0"/>
                <w:szCs w:val="24"/>
              </w:rPr>
              <w:t>、</w:t>
            </w:r>
            <w:r w:rsidRPr="008C2A7F">
              <w:rPr>
                <w:rFonts w:ascii="Times New Roman" w:eastAsia="標楷體" w:hAnsi="Times New Roman"/>
                <w:color w:val="000000"/>
                <w:kern w:val="0"/>
                <w:szCs w:val="24"/>
              </w:rPr>
              <w:t>lenvatinib</w:t>
            </w:r>
            <w:r w:rsidRPr="008C2A7F">
              <w:rPr>
                <w:rFonts w:ascii="Times New Roman" w:eastAsia="標楷體" w:hAnsi="Times New Roman" w:hint="eastAsia"/>
                <w:color w:val="000000"/>
                <w:kern w:val="0"/>
                <w:szCs w:val="24"/>
              </w:rPr>
              <w:t>、</w:t>
            </w:r>
            <w:r w:rsidRPr="008C2A7F">
              <w:rPr>
                <w:rFonts w:ascii="Times New Roman" w:eastAsia="標楷體" w:hAnsi="Times New Roman"/>
                <w:color w:val="000000"/>
                <w:kern w:val="0"/>
                <w:szCs w:val="24"/>
              </w:rPr>
              <w:t>sorafenib</w:t>
            </w:r>
            <w:r w:rsidRPr="008C2A7F">
              <w:rPr>
                <w:rFonts w:ascii="Times New Roman" w:eastAsia="標楷體" w:hAnsi="Times New Roman" w:hint="eastAsia"/>
                <w:color w:val="000000"/>
                <w:kern w:val="0"/>
                <w:szCs w:val="24"/>
              </w:rPr>
              <w:t>、</w:t>
            </w:r>
            <w:r w:rsidRPr="008C2A7F">
              <w:rPr>
                <w:rFonts w:ascii="Times New Roman" w:eastAsia="標楷體" w:hAnsi="Times New Roman"/>
                <w:color w:val="000000"/>
                <w:kern w:val="0"/>
                <w:szCs w:val="24"/>
              </w:rPr>
              <w:t>nintedanib</w:t>
            </w:r>
            <w:r w:rsidRPr="008C2A7F">
              <w:rPr>
                <w:rFonts w:ascii="Times New Roman" w:eastAsia="標楷體" w:hAnsi="Times New Roman" w:hint="eastAsia"/>
                <w:color w:val="000000"/>
                <w:kern w:val="0"/>
                <w:szCs w:val="24"/>
              </w:rPr>
              <w:t>、</w:t>
            </w:r>
            <w:r w:rsidRPr="008C2A7F">
              <w:rPr>
                <w:rFonts w:ascii="Times New Roman" w:eastAsia="標楷體" w:hAnsi="Times New Roman"/>
                <w:color w:val="000000"/>
                <w:kern w:val="0"/>
                <w:szCs w:val="24"/>
              </w:rPr>
              <w:t>regorafenib</w:t>
            </w:r>
            <w:r w:rsidRPr="008C2A7F">
              <w:rPr>
                <w:rFonts w:ascii="Times New Roman" w:eastAsia="標楷體" w:hAnsi="Times New Roman" w:hint="eastAsia"/>
                <w:color w:val="000000"/>
                <w:kern w:val="0"/>
                <w:szCs w:val="24"/>
              </w:rPr>
              <w:t>、</w:t>
            </w:r>
            <w:r w:rsidRPr="008C2A7F">
              <w:rPr>
                <w:rFonts w:ascii="Times New Roman" w:eastAsia="標楷體" w:hAnsi="Times New Roman"/>
                <w:color w:val="000000"/>
                <w:kern w:val="0"/>
                <w:szCs w:val="24"/>
              </w:rPr>
              <w:t>sunitinib</w:t>
            </w:r>
            <w:r w:rsidRPr="008C2A7F">
              <w:rPr>
                <w:rFonts w:ascii="Times New Roman" w:eastAsia="標楷體" w:hAnsi="Times New Roman" w:hint="eastAsia"/>
                <w:color w:val="000000"/>
                <w:kern w:val="0"/>
                <w:szCs w:val="24"/>
              </w:rPr>
              <w:t>、</w:t>
            </w:r>
            <w:r w:rsidRPr="008C2A7F">
              <w:rPr>
                <w:rFonts w:ascii="Times New Roman" w:eastAsia="標楷體" w:hAnsi="Times New Roman"/>
                <w:color w:val="000000"/>
                <w:kern w:val="0"/>
                <w:szCs w:val="24"/>
              </w:rPr>
              <w:t>pazopanib</w:t>
            </w:r>
            <w:r w:rsidR="0026780F">
              <w:rPr>
                <w:rFonts w:ascii="Times New Roman" w:eastAsia="標楷體" w:hAnsi="Times New Roman" w:hint="eastAsia"/>
                <w:color w:val="000000"/>
                <w:kern w:val="0"/>
                <w:szCs w:val="24"/>
              </w:rPr>
              <w:t>及</w:t>
            </w:r>
            <w:r w:rsidR="0026780F" w:rsidRPr="0026780F">
              <w:rPr>
                <w:rFonts w:ascii="Times New Roman" w:eastAsia="標楷體" w:hAnsi="Times New Roman"/>
                <w:color w:val="000000"/>
                <w:kern w:val="0"/>
                <w:szCs w:val="24"/>
              </w:rPr>
              <w:t>aflibercept</w:t>
            </w:r>
            <w:r w:rsidRPr="008C2A7F">
              <w:rPr>
                <w:rFonts w:ascii="Times New Roman" w:eastAsia="標楷體" w:hAnsi="Times New Roman" w:hint="eastAsia"/>
                <w:color w:val="000000"/>
                <w:kern w:val="0"/>
                <w:szCs w:val="24"/>
              </w:rPr>
              <w:t>等成分藥品，此類藥品之適應症多為癌症使用。</w:t>
            </w:r>
          </w:p>
          <w:p w:rsidR="008C2A7F" w:rsidRDefault="008C2A7F" w:rsidP="00AD3BC6">
            <w:pPr>
              <w:pStyle w:val="a9"/>
              <w:widowControl/>
              <w:numPr>
                <w:ilvl w:val="0"/>
                <w:numId w:val="20"/>
              </w:numPr>
              <w:shd w:val="clear" w:color="auto" w:fill="FFFFFF"/>
              <w:ind w:leftChars="0"/>
              <w:jc w:val="both"/>
              <w:rPr>
                <w:rFonts w:ascii="Times New Roman" w:eastAsia="標楷體" w:hAnsi="Times New Roman"/>
                <w:color w:val="000000"/>
                <w:kern w:val="0"/>
                <w:szCs w:val="24"/>
              </w:rPr>
            </w:pPr>
            <w:r w:rsidRPr="008C2A7F">
              <w:rPr>
                <w:rFonts w:ascii="Times New Roman" w:eastAsia="標楷體" w:hAnsi="Times New Roman" w:hint="eastAsia"/>
                <w:color w:val="000000"/>
                <w:kern w:val="0"/>
                <w:szCs w:val="24"/>
              </w:rPr>
              <w:t>次查，</w:t>
            </w:r>
            <w:r w:rsidR="0026780F" w:rsidRPr="0026780F">
              <w:rPr>
                <w:rFonts w:ascii="Times New Roman" w:eastAsia="標楷體" w:hAnsi="Times New Roman" w:hint="eastAsia"/>
                <w:color w:val="000000"/>
                <w:kern w:val="0"/>
                <w:szCs w:val="24"/>
              </w:rPr>
              <w:t>血管內皮生長因子路徑抑制劑類藥品</w:t>
            </w:r>
            <w:r w:rsidR="00AD3BC6">
              <w:rPr>
                <w:rFonts w:ascii="Times New Roman" w:eastAsia="標楷體" w:hAnsi="Times New Roman" w:hint="eastAsia"/>
                <w:color w:val="000000"/>
                <w:kern w:val="0"/>
                <w:szCs w:val="24"/>
              </w:rPr>
              <w:t>中</w:t>
            </w:r>
            <w:r w:rsidR="0026780F">
              <w:rPr>
                <w:rFonts w:ascii="Times New Roman" w:eastAsia="標楷體" w:hAnsi="Times New Roman" w:hint="eastAsia"/>
                <w:color w:val="000000"/>
                <w:kern w:val="0"/>
                <w:szCs w:val="24"/>
              </w:rPr>
              <w:t>含</w:t>
            </w:r>
            <w:r w:rsidR="0026780F" w:rsidRPr="0026780F">
              <w:rPr>
                <w:rFonts w:ascii="Times New Roman" w:eastAsia="標楷體" w:hAnsi="Times New Roman"/>
                <w:color w:val="000000"/>
                <w:kern w:val="0"/>
                <w:szCs w:val="24"/>
              </w:rPr>
              <w:t>aflibercept</w:t>
            </w:r>
            <w:r w:rsidR="0026780F">
              <w:rPr>
                <w:rFonts w:ascii="Times New Roman" w:eastAsia="標楷體" w:hAnsi="Times New Roman" w:hint="eastAsia"/>
                <w:color w:val="000000"/>
                <w:kern w:val="0"/>
                <w:szCs w:val="24"/>
              </w:rPr>
              <w:t>成分藥品於中文仿單「警語及注意事項」處</w:t>
            </w:r>
            <w:r w:rsidR="00AD3BC6">
              <w:rPr>
                <w:rFonts w:ascii="Times New Roman" w:eastAsia="標楷體" w:hAnsi="Times New Roman" w:hint="eastAsia"/>
                <w:color w:val="000000"/>
                <w:kern w:val="0"/>
                <w:szCs w:val="24"/>
              </w:rPr>
              <w:t>已</w:t>
            </w:r>
            <w:r w:rsidR="0026780F">
              <w:rPr>
                <w:rFonts w:ascii="Times New Roman" w:eastAsia="標楷體" w:hAnsi="Times New Roman" w:hint="eastAsia"/>
                <w:color w:val="000000"/>
                <w:kern w:val="0"/>
                <w:szCs w:val="24"/>
              </w:rPr>
              <w:t>刊載「</w:t>
            </w:r>
            <w:r w:rsidR="0026780F" w:rsidRPr="00AD3BC6">
              <w:rPr>
                <w:rFonts w:ascii="Times New Roman" w:eastAsia="標楷體" w:hAnsi="Times New Roman" w:hint="eastAsia"/>
                <w:b/>
                <w:color w:val="000000"/>
                <w:kern w:val="0"/>
                <w:szCs w:val="24"/>
              </w:rPr>
              <w:t>動脈瘤與動脈剝離</w:t>
            </w:r>
            <w:r w:rsidR="00AD3BC6" w:rsidRPr="00AD3BC6">
              <w:rPr>
                <w:rFonts w:ascii="Times New Roman" w:eastAsia="標楷體" w:hAnsi="Times New Roman" w:hint="eastAsia"/>
                <w:b/>
                <w:color w:val="000000"/>
                <w:kern w:val="0"/>
                <w:szCs w:val="24"/>
              </w:rPr>
              <w:t>：病人使用血管內皮生長因子（</w:t>
            </w:r>
            <w:r w:rsidR="00AD3BC6" w:rsidRPr="00AD3BC6">
              <w:rPr>
                <w:rFonts w:ascii="Times New Roman" w:eastAsia="標楷體" w:hAnsi="Times New Roman" w:hint="eastAsia"/>
                <w:b/>
                <w:color w:val="000000"/>
                <w:kern w:val="0"/>
                <w:szCs w:val="24"/>
              </w:rPr>
              <w:t>VEGF</w:t>
            </w:r>
            <w:r w:rsidR="00AD3BC6" w:rsidRPr="00AD3BC6">
              <w:rPr>
                <w:rFonts w:ascii="Times New Roman" w:eastAsia="標楷體" w:hAnsi="Times New Roman" w:hint="eastAsia"/>
                <w:b/>
                <w:color w:val="000000"/>
                <w:kern w:val="0"/>
                <w:szCs w:val="24"/>
              </w:rPr>
              <w:t>）路徑抑制的治療時伴隨</w:t>
            </w:r>
            <w:r w:rsidR="00AD3BC6" w:rsidRPr="00AD3BC6">
              <w:rPr>
                <w:rFonts w:ascii="Times New Roman" w:eastAsia="標楷體" w:hAnsi="Times New Roman" w:hint="eastAsia"/>
                <w:b/>
                <w:color w:val="000000"/>
                <w:kern w:val="0"/>
                <w:szCs w:val="24"/>
              </w:rPr>
              <w:t>/</w:t>
            </w:r>
            <w:r w:rsidR="00AD3BC6" w:rsidRPr="00AD3BC6">
              <w:rPr>
                <w:rFonts w:ascii="Times New Roman" w:eastAsia="標楷體" w:hAnsi="Times New Roman" w:hint="eastAsia"/>
                <w:b/>
                <w:color w:val="000000"/>
                <w:kern w:val="0"/>
                <w:szCs w:val="24"/>
              </w:rPr>
              <w:t>不伴隨高血壓可能促進動脈瘤的形成與</w:t>
            </w:r>
            <w:r w:rsidR="00AD3BC6" w:rsidRPr="00AD3BC6">
              <w:rPr>
                <w:rFonts w:ascii="Times New Roman" w:eastAsia="標楷體" w:hAnsi="Times New Roman" w:hint="eastAsia"/>
                <w:b/>
                <w:color w:val="000000"/>
                <w:kern w:val="0"/>
                <w:szCs w:val="24"/>
              </w:rPr>
              <w:t>/</w:t>
            </w:r>
            <w:r w:rsidR="00AD3BC6" w:rsidRPr="00AD3BC6">
              <w:rPr>
                <w:rFonts w:ascii="Times New Roman" w:eastAsia="標楷體" w:hAnsi="Times New Roman" w:hint="eastAsia"/>
                <w:b/>
                <w:color w:val="000000"/>
                <w:kern w:val="0"/>
                <w:szCs w:val="24"/>
              </w:rPr>
              <w:t>或動脈剝離。</w:t>
            </w:r>
            <w:r w:rsidR="00AD3BC6" w:rsidRPr="00AD3BC6">
              <w:rPr>
                <w:rFonts w:ascii="Times New Roman" w:eastAsia="標楷體" w:hAnsi="Times New Roman" w:hint="eastAsia"/>
                <w:b/>
                <w:color w:val="000000"/>
                <w:kern w:val="0"/>
                <w:szCs w:val="24"/>
              </w:rPr>
              <w:t>Zaltrap</w:t>
            </w:r>
            <w:r w:rsidR="00AD3BC6" w:rsidRPr="00AD3BC6">
              <w:rPr>
                <w:rFonts w:ascii="Times New Roman" w:eastAsia="標楷體" w:hAnsi="Times New Roman" w:hint="eastAsia"/>
                <w:b/>
                <w:color w:val="000000"/>
                <w:kern w:val="0"/>
                <w:szCs w:val="24"/>
              </w:rPr>
              <w:t>開始之前，對於病人的風險因子例如高血壓與動脈瘤病史，這些風險應被仔細考量</w:t>
            </w:r>
            <w:r w:rsidR="00AD3BC6">
              <w:rPr>
                <w:rFonts w:ascii="Times New Roman" w:eastAsia="標楷體" w:hAnsi="Times New Roman" w:hint="eastAsia"/>
                <w:color w:val="000000"/>
                <w:kern w:val="0"/>
                <w:szCs w:val="24"/>
              </w:rPr>
              <w:t>」之安全資訊；而</w:t>
            </w:r>
            <w:r w:rsidRPr="008C2A7F">
              <w:rPr>
                <w:rFonts w:ascii="Times New Roman" w:eastAsia="標楷體" w:hAnsi="Times New Roman" w:hint="eastAsia"/>
                <w:color w:val="000000"/>
                <w:kern w:val="0"/>
                <w:szCs w:val="24"/>
              </w:rPr>
              <w:t>含</w:t>
            </w:r>
            <w:r w:rsidRPr="008C2A7F">
              <w:rPr>
                <w:rFonts w:ascii="Times New Roman" w:eastAsia="標楷體" w:hAnsi="Times New Roman" w:hint="eastAsia"/>
                <w:color w:val="000000"/>
                <w:kern w:val="0"/>
                <w:szCs w:val="24"/>
              </w:rPr>
              <w:t>lenvatinib</w:t>
            </w:r>
            <w:r w:rsidRPr="008C2A7F">
              <w:rPr>
                <w:rFonts w:ascii="Times New Roman" w:eastAsia="標楷體" w:hAnsi="Times New Roman" w:hint="eastAsia"/>
                <w:color w:val="000000"/>
                <w:kern w:val="0"/>
                <w:szCs w:val="24"/>
              </w:rPr>
              <w:t>成分藥品</w:t>
            </w:r>
            <w:r w:rsidR="00AD3BC6">
              <w:rPr>
                <w:rFonts w:ascii="Times New Roman" w:eastAsia="標楷體" w:hAnsi="Times New Roman" w:hint="eastAsia"/>
                <w:color w:val="000000"/>
                <w:kern w:val="0"/>
                <w:szCs w:val="24"/>
              </w:rPr>
              <w:t>則</w:t>
            </w:r>
            <w:r w:rsidRPr="008C2A7F">
              <w:rPr>
                <w:rFonts w:ascii="Times New Roman" w:eastAsia="標楷體" w:hAnsi="Times New Roman" w:hint="eastAsia"/>
                <w:color w:val="000000"/>
                <w:kern w:val="0"/>
                <w:szCs w:val="24"/>
              </w:rPr>
              <w:t>於中文仿單「</w:t>
            </w:r>
            <w:r w:rsidRPr="008C2A7F">
              <w:rPr>
                <w:rFonts w:ascii="Times New Roman" w:eastAsia="標楷體" w:hAnsi="Times New Roman" w:hint="eastAsia"/>
                <w:color w:val="000000"/>
                <w:kern w:val="0"/>
                <w:szCs w:val="24"/>
              </w:rPr>
              <w:t xml:space="preserve">6.2 </w:t>
            </w:r>
            <w:r w:rsidR="00AD3BC6">
              <w:rPr>
                <w:rFonts w:ascii="Times New Roman" w:eastAsia="標楷體" w:hAnsi="Times New Roman" w:hint="eastAsia"/>
                <w:color w:val="000000"/>
                <w:kern w:val="0"/>
                <w:szCs w:val="24"/>
              </w:rPr>
              <w:t>上市後經驗」處刊載「血管：主動脈剝離」。</w:t>
            </w:r>
            <w:r w:rsidR="00AD3BC6" w:rsidRPr="00AD3BC6">
              <w:rPr>
                <w:rFonts w:ascii="Times New Roman" w:eastAsia="標楷體" w:hAnsi="Times New Roman" w:hint="eastAsia"/>
                <w:b/>
                <w:color w:val="000000"/>
                <w:kern w:val="0"/>
                <w:szCs w:val="24"/>
                <w:u w:val="single"/>
              </w:rPr>
              <w:t>其餘</w:t>
            </w:r>
            <w:r w:rsidRPr="00AD3BC6">
              <w:rPr>
                <w:rFonts w:ascii="Times New Roman" w:eastAsia="標楷體" w:hAnsi="Times New Roman" w:hint="eastAsia"/>
                <w:b/>
                <w:color w:val="000000"/>
                <w:kern w:val="0"/>
                <w:szCs w:val="24"/>
                <w:u w:val="single"/>
              </w:rPr>
              <w:t>藥品之中文仿單則未刊載「主動脈剝離或動脈瘤」相關風險。</w:t>
            </w:r>
          </w:p>
          <w:p w:rsidR="0026780F" w:rsidRDefault="0026780F" w:rsidP="003555E5">
            <w:pPr>
              <w:pStyle w:val="a9"/>
              <w:widowControl/>
              <w:numPr>
                <w:ilvl w:val="0"/>
                <w:numId w:val="20"/>
              </w:numPr>
              <w:shd w:val="clear" w:color="auto" w:fill="FFFFFF"/>
              <w:ind w:leftChars="0"/>
              <w:jc w:val="both"/>
              <w:rPr>
                <w:rFonts w:ascii="Times New Roman" w:eastAsia="標楷體" w:hAnsi="Times New Roman"/>
                <w:color w:val="000000"/>
                <w:kern w:val="0"/>
                <w:szCs w:val="24"/>
              </w:rPr>
            </w:pPr>
            <w:r w:rsidRPr="0026780F">
              <w:rPr>
                <w:rFonts w:ascii="Times New Roman" w:eastAsia="標楷體" w:hAnsi="Times New Roman" w:hint="eastAsia"/>
                <w:color w:val="000000"/>
                <w:kern w:val="0"/>
                <w:szCs w:val="24"/>
              </w:rPr>
              <w:t>本署現正評估是否針對含該成分藥品採取進一步風險管控措施。</w:t>
            </w:r>
          </w:p>
          <w:p w:rsidR="0026780F" w:rsidRPr="008C2A7F" w:rsidRDefault="0026780F" w:rsidP="0026780F">
            <w:pPr>
              <w:pStyle w:val="a9"/>
              <w:widowControl/>
              <w:shd w:val="clear" w:color="auto" w:fill="FFFFFF"/>
              <w:ind w:leftChars="0"/>
              <w:jc w:val="both"/>
              <w:rPr>
                <w:rFonts w:ascii="Times New Roman" w:eastAsia="標楷體" w:hAnsi="Times New Roman"/>
                <w:color w:val="000000"/>
                <w:kern w:val="0"/>
                <w:szCs w:val="24"/>
              </w:rPr>
            </w:pPr>
          </w:p>
          <w:p w:rsidR="008C2A7F" w:rsidRPr="00D63CDD" w:rsidRDefault="008C2A7F" w:rsidP="008C2A7F">
            <w:pPr>
              <w:pStyle w:val="Web"/>
              <w:spacing w:before="0" w:beforeAutospacing="0" w:after="0" w:afterAutospacing="0" w:line="400" w:lineRule="exact"/>
              <w:rPr>
                <w:rFonts w:ascii="Times New Roman" w:eastAsia="標楷體" w:hAnsi="Times New Roman" w:cs="Times New Roman"/>
                <w:b/>
                <w:color w:val="000000"/>
              </w:rPr>
            </w:pPr>
            <w:r w:rsidRPr="008D7A92">
              <w:rPr>
                <w:rFonts w:ascii="標楷體" w:eastAsia="標楷體" w:hAnsi="標楷體" w:cs="Times New Roman" w:hint="eastAsia"/>
                <w:bCs/>
                <w:color w:val="000000"/>
              </w:rPr>
              <w:t>◎</w:t>
            </w:r>
            <w:r w:rsidRPr="008D7A92">
              <w:rPr>
                <w:rFonts w:ascii="Times New Roman" w:eastAsia="標楷體" w:hAnsi="Times New Roman" w:cs="Times New Roman" w:hint="eastAsia"/>
                <w:b/>
                <w:bCs/>
                <w:color w:val="000000"/>
              </w:rPr>
              <w:t xml:space="preserve"> </w:t>
            </w:r>
            <w:r w:rsidRPr="00D63CDD">
              <w:rPr>
                <w:rFonts w:ascii="Times New Roman" w:eastAsia="標楷體" w:hAnsi="Times New Roman" w:cs="Times New Roman"/>
                <w:b/>
                <w:bCs/>
                <w:color w:val="000000"/>
                <w:u w:val="single"/>
              </w:rPr>
              <w:t>醫療人員</w:t>
            </w:r>
            <w:r w:rsidRPr="00D63CDD">
              <w:rPr>
                <w:rFonts w:ascii="Times New Roman" w:eastAsia="標楷體" w:hAnsi="Times New Roman" w:cs="Times New Roman"/>
                <w:b/>
                <w:color w:val="000000"/>
              </w:rPr>
              <w:t>應注意事項：</w:t>
            </w:r>
          </w:p>
          <w:p w:rsidR="008C2A7F" w:rsidRPr="0015133E" w:rsidRDefault="008C2A7F" w:rsidP="0015133E">
            <w:pPr>
              <w:pStyle w:val="a9"/>
              <w:widowControl/>
              <w:numPr>
                <w:ilvl w:val="0"/>
                <w:numId w:val="21"/>
              </w:numPr>
              <w:shd w:val="clear" w:color="auto" w:fill="FFFFFF"/>
              <w:ind w:leftChars="0"/>
              <w:jc w:val="both"/>
              <w:rPr>
                <w:rFonts w:ascii="Times New Roman" w:eastAsia="標楷體" w:hAnsi="Times New Roman"/>
                <w:color w:val="000000"/>
                <w:kern w:val="0"/>
                <w:szCs w:val="24"/>
              </w:rPr>
            </w:pPr>
            <w:r w:rsidRPr="0015133E">
              <w:rPr>
                <w:rFonts w:ascii="Times New Roman" w:eastAsia="標楷體" w:hAnsi="Times New Roman" w:hint="eastAsia"/>
                <w:color w:val="000000"/>
                <w:kern w:val="0"/>
                <w:szCs w:val="24"/>
              </w:rPr>
              <w:t>不論病人是否患有高血壓，全身性投予血管內皮生長因子路徑抑制</w:t>
            </w:r>
            <w:r w:rsidRPr="0015133E">
              <w:rPr>
                <w:rFonts w:ascii="Times New Roman" w:eastAsia="標楷體" w:hAnsi="Times New Roman"/>
                <w:color w:val="000000"/>
                <w:kern w:val="0"/>
                <w:szCs w:val="24"/>
              </w:rPr>
              <w:t>劑</w:t>
            </w:r>
            <w:r w:rsidRPr="0015133E">
              <w:rPr>
                <w:rFonts w:ascii="Times New Roman" w:eastAsia="標楷體" w:hAnsi="Times New Roman" w:hint="eastAsia"/>
                <w:color w:val="000000"/>
                <w:kern w:val="0"/>
                <w:szCs w:val="24"/>
              </w:rPr>
              <w:t>類藥品都可能有促進動脈瘤生成和動脈剝離的風險。</w:t>
            </w:r>
          </w:p>
          <w:p w:rsidR="008C2A7F" w:rsidRPr="0015133E" w:rsidRDefault="008C2A7F" w:rsidP="0015133E">
            <w:pPr>
              <w:pStyle w:val="a9"/>
              <w:widowControl/>
              <w:numPr>
                <w:ilvl w:val="0"/>
                <w:numId w:val="21"/>
              </w:numPr>
              <w:shd w:val="clear" w:color="auto" w:fill="FFFFFF"/>
              <w:ind w:leftChars="0"/>
              <w:jc w:val="both"/>
              <w:rPr>
                <w:rFonts w:ascii="Times New Roman" w:eastAsia="標楷體" w:hAnsi="Times New Roman"/>
                <w:color w:val="000000"/>
                <w:kern w:val="0"/>
                <w:szCs w:val="24"/>
              </w:rPr>
            </w:pPr>
            <w:r w:rsidRPr="0015133E">
              <w:rPr>
                <w:rFonts w:ascii="Times New Roman" w:eastAsia="標楷體" w:hAnsi="Times New Roman" w:hint="eastAsia"/>
                <w:color w:val="000000"/>
                <w:kern w:val="0"/>
                <w:szCs w:val="24"/>
              </w:rPr>
              <w:t>病人使用全身性投予血管內皮生長因子路徑抑制</w:t>
            </w:r>
            <w:r w:rsidRPr="0015133E">
              <w:rPr>
                <w:rFonts w:ascii="Times New Roman" w:eastAsia="標楷體" w:hAnsi="Times New Roman"/>
                <w:color w:val="000000"/>
                <w:kern w:val="0"/>
                <w:szCs w:val="24"/>
              </w:rPr>
              <w:t>劑</w:t>
            </w:r>
            <w:r w:rsidRPr="0015133E">
              <w:rPr>
                <w:rFonts w:ascii="Times New Roman" w:eastAsia="標楷體" w:hAnsi="Times New Roman" w:hint="eastAsia"/>
                <w:color w:val="000000"/>
                <w:kern w:val="0"/>
                <w:szCs w:val="24"/>
              </w:rPr>
              <w:t>後發生動脈瘤或動脈剝離之情形並不常見，但卻有致死的案例，主要與主動脈瘤破裂和主動脈剝離有關。</w:t>
            </w:r>
          </w:p>
          <w:p w:rsidR="008C2A7F" w:rsidRPr="0015133E" w:rsidRDefault="008C2A7F" w:rsidP="0015133E">
            <w:pPr>
              <w:pStyle w:val="a9"/>
              <w:widowControl/>
              <w:numPr>
                <w:ilvl w:val="0"/>
                <w:numId w:val="21"/>
              </w:numPr>
              <w:shd w:val="clear" w:color="auto" w:fill="FFFFFF"/>
              <w:ind w:leftChars="0"/>
              <w:jc w:val="both"/>
              <w:rPr>
                <w:rFonts w:ascii="Times New Roman" w:eastAsia="標楷體" w:hAnsi="Times New Roman"/>
                <w:color w:val="000000"/>
                <w:kern w:val="0"/>
                <w:szCs w:val="24"/>
              </w:rPr>
            </w:pPr>
            <w:r w:rsidRPr="0015133E">
              <w:rPr>
                <w:rFonts w:ascii="Times New Roman" w:eastAsia="標楷體" w:hAnsi="Times New Roman" w:hint="eastAsia"/>
                <w:color w:val="000000"/>
                <w:kern w:val="0"/>
                <w:szCs w:val="24"/>
              </w:rPr>
              <w:t>在開始使用此類藥品於具風險因子之病人前應審慎考量動脈瘤和動脈剝離風險，這些風險因子包含高血壓、動脈瘤病史或家族</w:t>
            </w:r>
            <w:r w:rsidRPr="0015133E">
              <w:rPr>
                <w:rFonts w:ascii="Times New Roman" w:eastAsia="標楷體" w:hAnsi="Times New Roman" w:hint="eastAsia"/>
                <w:color w:val="000000"/>
                <w:kern w:val="0"/>
                <w:szCs w:val="24"/>
              </w:rPr>
              <w:lastRenderedPageBreak/>
              <w:t>史、吸菸、糖尿病、冠狀動脈疾病、腦血管或周邊動脈疾病、高脂血症等，其他風險因子尚包含馬凡氏症候群（</w:t>
            </w:r>
            <w:r w:rsidRPr="0015133E">
              <w:rPr>
                <w:rFonts w:ascii="Times New Roman" w:eastAsia="標楷體" w:hAnsi="Times New Roman" w:hint="eastAsia"/>
                <w:color w:val="000000"/>
                <w:kern w:val="0"/>
                <w:szCs w:val="24"/>
              </w:rPr>
              <w:t>M</w:t>
            </w:r>
            <w:r w:rsidRPr="0015133E">
              <w:rPr>
                <w:rFonts w:ascii="Times New Roman" w:eastAsia="標楷體" w:hAnsi="Times New Roman"/>
                <w:color w:val="000000"/>
                <w:kern w:val="0"/>
                <w:szCs w:val="24"/>
              </w:rPr>
              <w:t>arfan syndrome</w:t>
            </w:r>
            <w:r w:rsidRPr="0015133E">
              <w:rPr>
                <w:rFonts w:ascii="Times New Roman" w:eastAsia="標楷體" w:hAnsi="Times New Roman" w:hint="eastAsia"/>
                <w:color w:val="000000"/>
                <w:kern w:val="0"/>
                <w:szCs w:val="24"/>
              </w:rPr>
              <w:t>）、血管型</w:t>
            </w:r>
            <w:r w:rsidRPr="0015133E">
              <w:rPr>
                <w:rFonts w:ascii="Times New Roman" w:eastAsia="標楷體" w:hAnsi="Times New Roman"/>
                <w:color w:val="000000"/>
                <w:kern w:val="0"/>
                <w:szCs w:val="24"/>
              </w:rPr>
              <w:t>埃勒斯</w:t>
            </w:r>
            <w:r w:rsidRPr="0015133E">
              <w:rPr>
                <w:rFonts w:ascii="Times New Roman" w:eastAsia="標楷體" w:hAnsi="Times New Roman"/>
                <w:color w:val="000000"/>
                <w:kern w:val="0"/>
                <w:szCs w:val="24"/>
              </w:rPr>
              <w:t>-</w:t>
            </w:r>
            <w:r w:rsidRPr="0015133E">
              <w:rPr>
                <w:rFonts w:ascii="Times New Roman" w:eastAsia="標楷體" w:hAnsi="Times New Roman"/>
                <w:color w:val="000000"/>
                <w:kern w:val="0"/>
                <w:szCs w:val="24"/>
              </w:rPr>
              <w:t>丹洛斯症候群</w:t>
            </w:r>
            <w:r w:rsidRPr="0015133E">
              <w:rPr>
                <w:rFonts w:ascii="Times New Roman" w:eastAsia="標楷體" w:hAnsi="Times New Roman" w:hint="eastAsia"/>
                <w:color w:val="000000"/>
                <w:kern w:val="0"/>
                <w:szCs w:val="24"/>
              </w:rPr>
              <w:t>（</w:t>
            </w:r>
            <w:r w:rsidRPr="0015133E">
              <w:rPr>
                <w:rFonts w:ascii="Times New Roman" w:eastAsia="標楷體" w:hAnsi="Times New Roman"/>
                <w:color w:val="000000"/>
                <w:kern w:val="0"/>
                <w:szCs w:val="24"/>
              </w:rPr>
              <w:t>vascular Ehlers-Danlos syndrome</w:t>
            </w:r>
            <w:r w:rsidRPr="0015133E">
              <w:rPr>
                <w:rFonts w:ascii="Times New Roman" w:eastAsia="標楷體" w:hAnsi="Times New Roman" w:hint="eastAsia"/>
                <w:color w:val="000000"/>
                <w:kern w:val="0"/>
                <w:szCs w:val="24"/>
              </w:rPr>
              <w:t>）、</w:t>
            </w:r>
            <w:r w:rsidRPr="0015133E">
              <w:rPr>
                <w:rFonts w:ascii="Times New Roman" w:eastAsia="標楷體" w:hAnsi="Times New Roman"/>
                <w:color w:val="000000"/>
                <w:kern w:val="0"/>
                <w:szCs w:val="24"/>
              </w:rPr>
              <w:t>高安氏動脈炎</w:t>
            </w:r>
            <w:r w:rsidRPr="0015133E">
              <w:rPr>
                <w:rFonts w:ascii="Times New Roman" w:eastAsia="標楷體" w:hAnsi="Times New Roman" w:hint="eastAsia"/>
                <w:color w:val="000000"/>
                <w:kern w:val="0"/>
                <w:szCs w:val="24"/>
              </w:rPr>
              <w:t>（</w:t>
            </w:r>
            <w:r w:rsidRPr="0015133E">
              <w:rPr>
                <w:rFonts w:ascii="Times New Roman" w:eastAsia="標楷體" w:hAnsi="Times New Roman"/>
                <w:color w:val="000000"/>
                <w:kern w:val="0"/>
                <w:szCs w:val="24"/>
              </w:rPr>
              <w:t>Takayasu arteritis</w:t>
            </w:r>
            <w:r w:rsidRPr="0015133E">
              <w:rPr>
                <w:rFonts w:ascii="Times New Roman" w:eastAsia="標楷體" w:hAnsi="Times New Roman" w:hint="eastAsia"/>
                <w:color w:val="000000"/>
                <w:kern w:val="0"/>
                <w:szCs w:val="24"/>
              </w:rPr>
              <w:t>）、巨細胞</w:t>
            </w:r>
            <w:r w:rsidRPr="0015133E">
              <w:rPr>
                <w:rFonts w:ascii="Times New Roman" w:eastAsia="標楷體" w:hAnsi="Times New Roman"/>
                <w:color w:val="000000"/>
                <w:kern w:val="0"/>
                <w:szCs w:val="24"/>
              </w:rPr>
              <w:t>動脈炎</w:t>
            </w:r>
            <w:r w:rsidRPr="0015133E">
              <w:rPr>
                <w:rFonts w:ascii="Times New Roman" w:eastAsia="標楷體" w:hAnsi="Times New Roman" w:hint="eastAsia"/>
                <w:color w:val="000000"/>
                <w:kern w:val="0"/>
                <w:szCs w:val="24"/>
              </w:rPr>
              <w:t>（</w:t>
            </w:r>
            <w:r w:rsidRPr="0015133E">
              <w:rPr>
                <w:rFonts w:ascii="Times New Roman" w:eastAsia="標楷體" w:hAnsi="Times New Roman" w:hint="eastAsia"/>
                <w:color w:val="000000"/>
                <w:kern w:val="0"/>
                <w:szCs w:val="24"/>
              </w:rPr>
              <w:t>giant cell</w:t>
            </w:r>
            <w:r w:rsidRPr="0015133E">
              <w:rPr>
                <w:rFonts w:ascii="Times New Roman" w:eastAsia="標楷體" w:hAnsi="Times New Roman"/>
                <w:color w:val="000000"/>
                <w:kern w:val="0"/>
                <w:szCs w:val="24"/>
              </w:rPr>
              <w:t xml:space="preserve"> arteritis</w:t>
            </w:r>
            <w:r w:rsidRPr="0015133E">
              <w:rPr>
                <w:rFonts w:ascii="Times New Roman" w:eastAsia="標楷體" w:hAnsi="Times New Roman" w:hint="eastAsia"/>
                <w:color w:val="000000"/>
                <w:kern w:val="0"/>
                <w:szCs w:val="24"/>
              </w:rPr>
              <w:t>）、</w:t>
            </w:r>
            <w:r w:rsidRPr="0015133E">
              <w:rPr>
                <w:rFonts w:ascii="Times New Roman" w:eastAsia="標楷體" w:hAnsi="Times New Roman"/>
                <w:color w:val="000000"/>
                <w:kern w:val="0"/>
                <w:szCs w:val="24"/>
              </w:rPr>
              <w:t>貝賽特氏症</w:t>
            </w:r>
            <w:r w:rsidRPr="0015133E">
              <w:rPr>
                <w:rFonts w:ascii="Times New Roman" w:eastAsia="標楷體" w:hAnsi="Times New Roman" w:hint="eastAsia"/>
                <w:color w:val="000000"/>
                <w:kern w:val="0"/>
                <w:szCs w:val="24"/>
              </w:rPr>
              <w:t>（</w:t>
            </w:r>
            <w:r w:rsidRPr="0015133E">
              <w:rPr>
                <w:rFonts w:ascii="Times New Roman" w:eastAsia="標楷體" w:hAnsi="Times New Roman"/>
                <w:color w:val="000000"/>
                <w:kern w:val="0"/>
                <w:szCs w:val="24"/>
              </w:rPr>
              <w:t>Behcet's disease</w:t>
            </w:r>
            <w:r w:rsidRPr="0015133E">
              <w:rPr>
                <w:rFonts w:ascii="Times New Roman" w:eastAsia="標楷體" w:hAnsi="Times New Roman" w:hint="eastAsia"/>
                <w:color w:val="000000"/>
                <w:kern w:val="0"/>
                <w:szCs w:val="24"/>
              </w:rPr>
              <w:t>）及使用</w:t>
            </w:r>
            <w:r w:rsidRPr="0015133E">
              <w:rPr>
                <w:rFonts w:ascii="Times New Roman" w:eastAsia="標楷體" w:hAnsi="Times New Roman" w:hint="eastAsia"/>
                <w:color w:val="000000"/>
                <w:kern w:val="0"/>
                <w:szCs w:val="24"/>
              </w:rPr>
              <w:t>fluoroquinolone</w:t>
            </w:r>
            <w:r w:rsidRPr="0015133E">
              <w:rPr>
                <w:rFonts w:ascii="Times New Roman" w:eastAsia="標楷體" w:hAnsi="Times New Roman" w:hint="eastAsia"/>
                <w:color w:val="000000"/>
                <w:kern w:val="0"/>
                <w:szCs w:val="24"/>
              </w:rPr>
              <w:t>類藥品。</w:t>
            </w:r>
          </w:p>
          <w:p w:rsidR="008C2A7F" w:rsidRPr="0015133E" w:rsidRDefault="008C2A7F" w:rsidP="0015133E">
            <w:pPr>
              <w:pStyle w:val="a9"/>
              <w:widowControl/>
              <w:numPr>
                <w:ilvl w:val="0"/>
                <w:numId w:val="21"/>
              </w:numPr>
              <w:shd w:val="clear" w:color="auto" w:fill="FFFFFF"/>
              <w:ind w:leftChars="0"/>
              <w:jc w:val="both"/>
              <w:rPr>
                <w:rFonts w:ascii="Times New Roman" w:eastAsia="標楷體" w:hAnsi="Times New Roman"/>
                <w:color w:val="000000"/>
                <w:kern w:val="0"/>
                <w:szCs w:val="24"/>
              </w:rPr>
            </w:pPr>
            <w:r w:rsidRPr="0015133E">
              <w:rPr>
                <w:rFonts w:ascii="Times New Roman" w:eastAsia="標楷體" w:hAnsi="Times New Roman" w:hint="eastAsia"/>
                <w:color w:val="000000"/>
                <w:kern w:val="0"/>
                <w:szCs w:val="24"/>
              </w:rPr>
              <w:t>密切監測正在接受全身性投予此類藥品治療之病人並盡可能減少任何可調控之風險因子（如高血壓、抽菸等）。</w:t>
            </w:r>
          </w:p>
          <w:p w:rsidR="008C2A7F" w:rsidRPr="0015133E" w:rsidRDefault="008C2A7F" w:rsidP="0015133E">
            <w:pPr>
              <w:pStyle w:val="a9"/>
              <w:widowControl/>
              <w:numPr>
                <w:ilvl w:val="0"/>
                <w:numId w:val="21"/>
              </w:numPr>
              <w:shd w:val="clear" w:color="auto" w:fill="FFFFFF"/>
              <w:ind w:leftChars="0"/>
              <w:jc w:val="both"/>
              <w:rPr>
                <w:rFonts w:ascii="Times New Roman" w:eastAsia="標楷體" w:hAnsi="Times New Roman"/>
                <w:color w:val="000000"/>
                <w:kern w:val="0"/>
                <w:szCs w:val="24"/>
              </w:rPr>
            </w:pPr>
            <w:r w:rsidRPr="0015133E">
              <w:rPr>
                <w:rFonts w:ascii="Times New Roman" w:eastAsia="標楷體" w:hAnsi="Times New Roman" w:hint="eastAsia"/>
                <w:color w:val="000000"/>
                <w:kern w:val="0"/>
                <w:szCs w:val="24"/>
              </w:rPr>
              <w:t>醫療人員應</w:t>
            </w:r>
            <w:r w:rsidRPr="0015133E">
              <w:rPr>
                <w:rFonts w:ascii="Times New Roman" w:eastAsia="標楷體" w:hAnsi="Times New Roman"/>
                <w:color w:val="000000"/>
                <w:kern w:val="0"/>
                <w:szCs w:val="24"/>
              </w:rPr>
              <w:t>告知病人</w:t>
            </w:r>
            <w:r w:rsidRPr="0015133E">
              <w:rPr>
                <w:rFonts w:ascii="Times New Roman" w:eastAsia="標楷體" w:hAnsi="Times New Roman" w:hint="eastAsia"/>
                <w:color w:val="000000"/>
                <w:kern w:val="0"/>
                <w:szCs w:val="24"/>
              </w:rPr>
              <w:t>使用血管內皮生長因子路徑抑制</w:t>
            </w:r>
            <w:r w:rsidRPr="0015133E">
              <w:rPr>
                <w:rFonts w:ascii="Times New Roman" w:eastAsia="標楷體" w:hAnsi="Times New Roman"/>
                <w:color w:val="000000"/>
                <w:kern w:val="0"/>
                <w:szCs w:val="24"/>
              </w:rPr>
              <w:t>劑</w:t>
            </w:r>
            <w:r w:rsidRPr="0015133E">
              <w:rPr>
                <w:rFonts w:ascii="Times New Roman" w:eastAsia="標楷體" w:hAnsi="Times New Roman" w:hint="eastAsia"/>
                <w:color w:val="000000"/>
                <w:kern w:val="0"/>
                <w:szCs w:val="24"/>
              </w:rPr>
              <w:t>類藥品之</w:t>
            </w:r>
            <w:r w:rsidRPr="0015133E">
              <w:rPr>
                <w:rFonts w:ascii="Times New Roman" w:eastAsia="標楷體" w:hAnsi="Times New Roman"/>
                <w:color w:val="000000"/>
                <w:kern w:val="0"/>
                <w:szCs w:val="24"/>
              </w:rPr>
              <w:t>風險</w:t>
            </w:r>
            <w:r w:rsidRPr="0015133E">
              <w:rPr>
                <w:rFonts w:ascii="Times New Roman" w:eastAsia="標楷體" w:hAnsi="Times New Roman" w:hint="eastAsia"/>
                <w:color w:val="000000"/>
                <w:kern w:val="0"/>
                <w:szCs w:val="24"/>
              </w:rPr>
              <w:t>，並告知病人若用藥期間有任何不適，應尋求醫療協助。</w:t>
            </w:r>
          </w:p>
          <w:p w:rsidR="008C2A7F" w:rsidRPr="00990602" w:rsidRDefault="008C2A7F" w:rsidP="008C2A7F">
            <w:pPr>
              <w:pStyle w:val="Web"/>
              <w:spacing w:before="0" w:beforeAutospacing="0" w:after="0" w:afterAutospacing="0" w:line="400" w:lineRule="exact"/>
              <w:jc w:val="both"/>
              <w:rPr>
                <w:rFonts w:ascii="Times New Roman" w:eastAsia="標楷體" w:hAnsi="Times New Roman" w:cs="Times New Roman"/>
                <w:b/>
                <w:color w:val="000000"/>
              </w:rPr>
            </w:pPr>
          </w:p>
          <w:p w:rsidR="008C2A7F" w:rsidRPr="00D63CDD" w:rsidRDefault="008C2A7F" w:rsidP="008C2A7F">
            <w:pPr>
              <w:pStyle w:val="Web"/>
              <w:spacing w:before="0" w:beforeAutospacing="0" w:after="0" w:afterAutospacing="0" w:line="400" w:lineRule="exact"/>
              <w:rPr>
                <w:rFonts w:ascii="Times New Roman" w:eastAsia="標楷體" w:hAnsi="Times New Roman" w:cs="Times New Roman"/>
              </w:rPr>
            </w:pPr>
            <w:r w:rsidRPr="008D7A92">
              <w:rPr>
                <w:rFonts w:ascii="標楷體" w:eastAsia="標楷體" w:hAnsi="標楷體" w:cs="Times New Roman" w:hint="eastAsia"/>
                <w:bCs/>
                <w:color w:val="000000"/>
              </w:rPr>
              <w:t>◎</w:t>
            </w:r>
            <w:r w:rsidRPr="008D7A92">
              <w:rPr>
                <w:rFonts w:ascii="標楷體" w:eastAsia="標楷體" w:hAnsi="標楷體" w:cs="Times New Roman" w:hint="eastAsia"/>
                <w:b/>
                <w:bCs/>
                <w:color w:val="000000"/>
              </w:rPr>
              <w:t xml:space="preserve"> </w:t>
            </w:r>
            <w:r w:rsidRPr="00D63CDD">
              <w:rPr>
                <w:rFonts w:ascii="Times New Roman" w:eastAsia="標楷體" w:hAnsi="Times New Roman" w:cs="Times New Roman"/>
                <w:b/>
                <w:bCs/>
                <w:u w:val="single"/>
              </w:rPr>
              <w:t>病人</w:t>
            </w:r>
            <w:r w:rsidRPr="00D63CDD">
              <w:rPr>
                <w:rFonts w:ascii="Times New Roman" w:eastAsia="標楷體" w:hAnsi="Times New Roman" w:cs="Times New Roman"/>
                <w:b/>
              </w:rPr>
              <w:t>應注意事項</w:t>
            </w:r>
            <w:r w:rsidRPr="00D63CDD">
              <w:rPr>
                <w:rFonts w:ascii="Times New Roman" w:eastAsia="標楷體" w:hAnsi="Times New Roman" w:cs="Times New Roman"/>
              </w:rPr>
              <w:t>：</w:t>
            </w:r>
          </w:p>
          <w:p w:rsidR="008C2A7F" w:rsidRPr="0015133E" w:rsidRDefault="008C2A7F" w:rsidP="000973BD">
            <w:pPr>
              <w:pStyle w:val="a9"/>
              <w:widowControl/>
              <w:numPr>
                <w:ilvl w:val="0"/>
                <w:numId w:val="23"/>
              </w:numPr>
              <w:shd w:val="clear" w:color="auto" w:fill="FFFFFF"/>
              <w:ind w:leftChars="0"/>
              <w:jc w:val="both"/>
              <w:rPr>
                <w:rFonts w:ascii="Times New Roman" w:eastAsia="標楷體" w:hAnsi="Times New Roman"/>
                <w:color w:val="000000"/>
                <w:kern w:val="0"/>
                <w:szCs w:val="24"/>
              </w:rPr>
            </w:pPr>
            <w:bookmarkStart w:id="0" w:name="_GoBack"/>
            <w:bookmarkEnd w:id="0"/>
            <w:r w:rsidRPr="0015133E">
              <w:rPr>
                <w:rFonts w:ascii="Times New Roman" w:eastAsia="標楷體" w:hAnsi="Times New Roman" w:hint="eastAsia"/>
                <w:color w:val="000000"/>
                <w:kern w:val="0"/>
                <w:szCs w:val="24"/>
              </w:rPr>
              <w:t>就醫時應主動告知醫療人員自身病史及用藥史，醫師將進一步評估您的用藥。</w:t>
            </w:r>
          </w:p>
          <w:p w:rsidR="008C2A7F" w:rsidRPr="0015133E" w:rsidRDefault="008C2A7F" w:rsidP="000973BD">
            <w:pPr>
              <w:pStyle w:val="a9"/>
              <w:widowControl/>
              <w:numPr>
                <w:ilvl w:val="0"/>
                <w:numId w:val="23"/>
              </w:numPr>
              <w:shd w:val="clear" w:color="auto" w:fill="FFFFFF"/>
              <w:ind w:leftChars="0"/>
              <w:jc w:val="both"/>
              <w:rPr>
                <w:rFonts w:ascii="Times New Roman" w:eastAsia="標楷體" w:hAnsi="Times New Roman"/>
                <w:color w:val="000000"/>
                <w:kern w:val="0"/>
                <w:szCs w:val="24"/>
              </w:rPr>
            </w:pPr>
            <w:r w:rsidRPr="0015133E">
              <w:rPr>
                <w:rFonts w:ascii="Times New Roman" w:eastAsia="標楷體" w:hAnsi="Times New Roman" w:hint="eastAsia"/>
                <w:color w:val="000000"/>
                <w:kern w:val="0"/>
                <w:szCs w:val="24"/>
              </w:rPr>
              <w:t>若服藥後出現任何可能為動脈瘤破裂或動脈剝離之相關徵兆或症狀，例如突然且劇烈的腹痛、胸痛或背痛，請立即尋求醫療協助。</w:t>
            </w:r>
          </w:p>
          <w:p w:rsidR="008C2A7F" w:rsidRPr="0015133E" w:rsidRDefault="008C2A7F" w:rsidP="000973BD">
            <w:pPr>
              <w:pStyle w:val="a9"/>
              <w:widowControl/>
              <w:numPr>
                <w:ilvl w:val="0"/>
                <w:numId w:val="23"/>
              </w:numPr>
              <w:shd w:val="clear" w:color="auto" w:fill="FFFFFF"/>
              <w:ind w:leftChars="0"/>
              <w:jc w:val="both"/>
              <w:rPr>
                <w:rFonts w:ascii="Times New Roman" w:eastAsia="標楷體" w:hAnsi="Times New Roman"/>
                <w:color w:val="000000"/>
                <w:kern w:val="0"/>
                <w:szCs w:val="24"/>
              </w:rPr>
            </w:pPr>
            <w:r w:rsidRPr="0015133E">
              <w:rPr>
                <w:rFonts w:ascii="Times New Roman" w:eastAsia="標楷體" w:hAnsi="Times New Roman" w:hint="eastAsia"/>
                <w:color w:val="000000"/>
                <w:kern w:val="0"/>
                <w:szCs w:val="24"/>
              </w:rPr>
              <w:t>若您對用藥有任何疑問請諮詢醫療人員，切勿於諮詢醫療人員前自行停藥。</w:t>
            </w:r>
            <w:r w:rsidRPr="0015133E">
              <w:rPr>
                <w:rFonts w:ascii="Times New Roman" w:eastAsia="標楷體" w:hAnsi="Times New Roman"/>
                <w:color w:val="000000"/>
                <w:kern w:val="0"/>
                <w:szCs w:val="24"/>
              </w:rPr>
              <w:t xml:space="preserve"> </w:t>
            </w:r>
          </w:p>
          <w:p w:rsidR="008C2A7F" w:rsidRPr="00932D40" w:rsidRDefault="008C2A7F" w:rsidP="008C2A7F">
            <w:pPr>
              <w:pStyle w:val="Web"/>
              <w:spacing w:before="0" w:beforeAutospacing="0" w:after="0" w:afterAutospacing="0" w:line="400" w:lineRule="exact"/>
              <w:jc w:val="both"/>
              <w:rPr>
                <w:rFonts w:ascii="Times New Roman" w:eastAsia="標楷體" w:hAnsi="Times New Roman"/>
                <w:color w:val="000000" w:themeColor="text1"/>
              </w:rPr>
            </w:pPr>
          </w:p>
          <w:p w:rsidR="008C2A7F" w:rsidRPr="008C2A7F" w:rsidRDefault="008C2A7F" w:rsidP="008C2A7F">
            <w:pPr>
              <w:widowControl/>
              <w:shd w:val="clear" w:color="auto" w:fill="FFFFFF"/>
              <w:jc w:val="both"/>
              <w:rPr>
                <w:rFonts w:ascii="Times New Roman" w:eastAsia="標楷體" w:hAnsi="Times New Roman"/>
                <w:szCs w:val="24"/>
              </w:rPr>
            </w:pPr>
            <w:r w:rsidRPr="00D63CDD">
              <w:rPr>
                <w:rFonts w:ascii="Times New Roman" w:eastAsia="標楷體" w:hAnsi="標楷體" w:hint="eastAsia"/>
              </w:rPr>
              <w:t>醫療人員或病人懷疑因為使用（</w:t>
            </w:r>
            <w:r>
              <w:rPr>
                <w:rFonts w:ascii="Times New Roman" w:eastAsia="標楷體" w:hAnsi="標楷體" w:hint="eastAsia"/>
              </w:rPr>
              <w:t>服</w:t>
            </w:r>
            <w:r w:rsidRPr="00D63CDD">
              <w:rPr>
                <w:rFonts w:ascii="Times New Roman" w:eastAsia="標楷體" w:hAnsi="標楷體" w:hint="eastAsia"/>
              </w:rPr>
              <w:t>用）藥品導致不良反應發生時，請立即通報給衛生福利部所建置之全國藥物不良反應通報中心，並副知所屬廠商，藥物不良反應通報專線</w:t>
            </w:r>
            <w:r w:rsidRPr="00D63CDD">
              <w:rPr>
                <w:rFonts w:ascii="Times New Roman" w:eastAsia="標楷體"/>
              </w:rPr>
              <w:t>02-2396-0100</w:t>
            </w:r>
            <w:r w:rsidRPr="00D63CDD">
              <w:rPr>
                <w:rFonts w:ascii="Times New Roman" w:eastAsia="標楷體" w:hAnsi="標楷體" w:hint="eastAsia"/>
              </w:rPr>
              <w:t>，網站：</w:t>
            </w:r>
            <w:hyperlink r:id="rId10" w:history="1">
              <w:r w:rsidRPr="00E66220">
                <w:rPr>
                  <w:rStyle w:val="ab"/>
                  <w:rFonts w:ascii="Times New Roman" w:eastAsia="標楷體"/>
                </w:rPr>
                <w:t>http</w:t>
              </w:r>
              <w:r w:rsidRPr="00E66220">
                <w:rPr>
                  <w:rStyle w:val="ab"/>
                  <w:rFonts w:ascii="Times New Roman" w:eastAsia="標楷體" w:hint="eastAsia"/>
                </w:rPr>
                <w:t>s</w:t>
              </w:r>
              <w:r w:rsidRPr="00E66220">
                <w:rPr>
                  <w:rStyle w:val="ab"/>
                  <w:rFonts w:ascii="Times New Roman" w:eastAsia="標楷體"/>
                </w:rPr>
                <w:t>://adr.fda.gov.tw</w:t>
              </w:r>
            </w:hyperlink>
            <w:r w:rsidRPr="00D63CDD">
              <w:rPr>
                <w:rFonts w:ascii="Times New Roman" w:eastAsia="標楷體" w:hAnsi="標楷體" w:hint="eastAsia"/>
              </w:rPr>
              <w:t>；衛生福利部食品藥物管理署獲知藥品安全訊息時，均會蒐集彙整相關資料進行評估，並對於新增之藥品風險採取對應之風險管控措施</w:t>
            </w:r>
            <w:r w:rsidRPr="00D63CDD">
              <w:rPr>
                <w:rFonts w:ascii="Times New Roman" w:eastAsia="標楷體" w:hint="eastAsia"/>
              </w:rPr>
              <w:t>。</w:t>
            </w:r>
          </w:p>
        </w:tc>
      </w:tr>
    </w:tbl>
    <w:p w:rsidR="00F60C9D" w:rsidRDefault="00F60C9D">
      <w:pPr>
        <w:widowControl/>
      </w:pPr>
    </w:p>
    <w:p w:rsidR="00EF096D" w:rsidRDefault="00EF096D">
      <w:pPr>
        <w:widowControl/>
      </w:pPr>
    </w:p>
    <w:p w:rsidR="00D221D6" w:rsidRDefault="00D221D6">
      <w:pPr>
        <w:widowControl/>
        <w:sectPr w:rsidR="00D221D6" w:rsidSect="006448FD">
          <w:pgSz w:w="11906" w:h="16838"/>
          <w:pgMar w:top="1440" w:right="1800" w:bottom="1440" w:left="1800" w:header="851" w:footer="992" w:gutter="0"/>
          <w:cols w:space="425"/>
          <w:docGrid w:type="lines" w:linePitch="360"/>
        </w:sectPr>
      </w:pPr>
    </w:p>
    <w:p w:rsidR="000E2809" w:rsidRPr="000E2809" w:rsidRDefault="00D221D6" w:rsidP="0077391B">
      <w:pPr>
        <w:jc w:val="center"/>
        <w:rPr>
          <w:rFonts w:ascii="Times New Roman" w:eastAsia="標楷體" w:hAnsi="Times New Roman"/>
          <w:b/>
          <w:sz w:val="28"/>
          <w:szCs w:val="28"/>
        </w:rPr>
      </w:pPr>
      <w:r w:rsidRPr="00D221D6">
        <w:rPr>
          <w:rFonts w:ascii="Times New Roman" w:eastAsia="標楷體" w:hAnsi="Times New Roman" w:hint="eastAsia"/>
          <w:b/>
          <w:sz w:val="28"/>
          <w:szCs w:val="28"/>
        </w:rPr>
        <w:lastRenderedPageBreak/>
        <w:t>附件</w:t>
      </w:r>
      <w:r w:rsidRPr="00D221D6">
        <w:rPr>
          <w:rFonts w:ascii="Times New Roman" w:eastAsia="標楷體" w:hAnsi="Times New Roman" w:hint="eastAsia"/>
          <w:b/>
          <w:sz w:val="28"/>
          <w:szCs w:val="28"/>
        </w:rPr>
        <w:t xml:space="preserve"> </w:t>
      </w:r>
      <w:r w:rsidRPr="00D221D6">
        <w:rPr>
          <w:rFonts w:ascii="Times New Roman" w:eastAsia="標楷體" w:hAnsi="Times New Roman" w:hint="eastAsia"/>
          <w:b/>
          <w:sz w:val="28"/>
          <w:szCs w:val="28"/>
        </w:rPr>
        <w:t>血管內皮生長因子路徑抑制劑類</w:t>
      </w:r>
      <w:r w:rsidRPr="00D221D6">
        <w:rPr>
          <w:rFonts w:ascii="Times New Roman" w:eastAsia="標楷體" w:hAnsi="Times New Roman"/>
          <w:b/>
          <w:sz w:val="28"/>
          <w:szCs w:val="28"/>
        </w:rPr>
        <w:t>藥品</w:t>
      </w:r>
      <w:r w:rsidRPr="00D221D6">
        <w:rPr>
          <w:rFonts w:ascii="Times New Roman" w:eastAsia="標楷體" w:hAnsi="Times New Roman" w:hint="eastAsia"/>
          <w:b/>
          <w:sz w:val="28"/>
          <w:szCs w:val="28"/>
        </w:rPr>
        <w:t>之作用機轉及適應症</w:t>
      </w:r>
    </w:p>
    <w:tbl>
      <w:tblPr>
        <w:tblStyle w:val="ae"/>
        <w:tblW w:w="15452" w:type="dxa"/>
        <w:tblInd w:w="-318" w:type="dxa"/>
        <w:tblLook w:val="04A0" w:firstRow="1" w:lastRow="0" w:firstColumn="1" w:lastColumn="0" w:noHBand="0" w:noVBand="1"/>
      </w:tblPr>
      <w:tblGrid>
        <w:gridCol w:w="970"/>
        <w:gridCol w:w="14482"/>
      </w:tblGrid>
      <w:tr w:rsidR="00D221D6" w:rsidRPr="00332900" w:rsidTr="00D85BCD">
        <w:tc>
          <w:tcPr>
            <w:tcW w:w="15452" w:type="dxa"/>
            <w:gridSpan w:val="2"/>
            <w:tcBorders>
              <w:top w:val="nil"/>
              <w:left w:val="nil"/>
              <w:right w:val="nil"/>
            </w:tcBorders>
          </w:tcPr>
          <w:p w:rsidR="00D221D6" w:rsidRPr="00F87693" w:rsidRDefault="00F87693" w:rsidP="003555E5">
            <w:pPr>
              <w:pStyle w:val="a9"/>
              <w:widowControl/>
              <w:numPr>
                <w:ilvl w:val="0"/>
                <w:numId w:val="6"/>
              </w:numPr>
              <w:ind w:leftChars="0"/>
              <w:rPr>
                <w:rFonts w:ascii="Times New Roman" w:eastAsia="標楷體" w:hAnsi="Times New Roman"/>
                <w:b/>
              </w:rPr>
            </w:pPr>
            <w:r w:rsidRPr="00F87693">
              <w:rPr>
                <w:rFonts w:ascii="Times New Roman" w:eastAsia="標楷體"/>
                <w:b/>
                <w:bCs/>
                <w:color w:val="000000" w:themeColor="text1"/>
                <w:kern w:val="36"/>
                <w:lang w:bidi="hi-IN"/>
              </w:rPr>
              <w:t>Vandetanib</w:t>
            </w:r>
          </w:p>
        </w:tc>
      </w:tr>
      <w:tr w:rsidR="00D221D6" w:rsidRPr="00386048" w:rsidTr="0058462B">
        <w:tc>
          <w:tcPr>
            <w:tcW w:w="970" w:type="dxa"/>
            <w:vAlign w:val="center"/>
          </w:tcPr>
          <w:p w:rsidR="00D221D6" w:rsidRPr="00386048" w:rsidRDefault="00D221D6" w:rsidP="001A6264">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Pr>
          <w:p w:rsidR="00D221D6" w:rsidRPr="00023B86" w:rsidRDefault="002265C2" w:rsidP="00EF4CAF">
            <w:pPr>
              <w:widowControl/>
              <w:rPr>
                <w:rFonts w:ascii="Times New Roman" w:eastAsia="標楷體" w:hAnsi="Times New Roman"/>
              </w:rPr>
            </w:pPr>
            <w:r w:rsidRPr="0003743C">
              <w:rPr>
                <w:rFonts w:ascii="Times New Roman" w:eastAsia="標楷體" w:hAnsi="Times New Roman"/>
              </w:rPr>
              <w:t>Vandetanib</w:t>
            </w:r>
            <w:r w:rsidRPr="0003743C">
              <w:rPr>
                <w:rFonts w:ascii="Times New Roman" w:eastAsia="標楷體" w:hAnsi="Times New Roman"/>
              </w:rPr>
              <w:t>是一種激酶抑制劑。體外試驗顯示</w:t>
            </w:r>
            <w:r w:rsidRPr="0003743C">
              <w:rPr>
                <w:rFonts w:ascii="Times New Roman" w:eastAsia="標楷體" w:hAnsi="Times New Roman"/>
              </w:rPr>
              <w:t xml:space="preserve">vandetanib </w:t>
            </w:r>
            <w:r w:rsidR="0003743C">
              <w:rPr>
                <w:rFonts w:ascii="Times New Roman" w:eastAsia="標楷體" w:hAnsi="Times New Roman" w:hint="eastAsia"/>
              </w:rPr>
              <w:t>能</w:t>
            </w:r>
            <w:r w:rsidR="00EF4CAF">
              <w:rPr>
                <w:rFonts w:ascii="Times New Roman" w:eastAsia="標楷體" w:hAnsi="Times New Roman"/>
              </w:rPr>
              <w:t>抑制酪胺酸激酶活性，</w:t>
            </w:r>
            <w:r w:rsidRPr="0003743C">
              <w:rPr>
                <w:rFonts w:ascii="Times New Roman" w:eastAsia="標楷體" w:hAnsi="Times New Roman"/>
              </w:rPr>
              <w:t>包括表皮生長因子受體</w:t>
            </w:r>
            <w:r w:rsidRPr="0003743C">
              <w:rPr>
                <w:rFonts w:ascii="Times New Roman" w:eastAsia="標楷體" w:hAnsi="Times New Roman"/>
              </w:rPr>
              <w:t>(EGFR)</w:t>
            </w:r>
            <w:r w:rsidRPr="0003743C">
              <w:rPr>
                <w:rFonts w:ascii="Times New Roman" w:eastAsia="標楷體" w:hAnsi="Times New Roman"/>
              </w:rPr>
              <w:t>的成員、血管生長因子受體</w:t>
            </w:r>
            <w:r w:rsidRPr="0003743C">
              <w:rPr>
                <w:rFonts w:ascii="Times New Roman" w:eastAsia="標楷體" w:hAnsi="Times New Roman"/>
              </w:rPr>
              <w:t>(VEGFR)</w:t>
            </w:r>
            <w:r w:rsidRPr="0003743C">
              <w:rPr>
                <w:rFonts w:ascii="Times New Roman" w:eastAsia="標楷體" w:hAnsi="Times New Roman"/>
              </w:rPr>
              <w:t>、轉染重排</w:t>
            </w:r>
            <w:r w:rsidRPr="0003743C">
              <w:rPr>
                <w:rFonts w:ascii="Times New Roman" w:eastAsia="標楷體" w:hAnsi="Times New Roman"/>
              </w:rPr>
              <w:t>(RET)</w:t>
            </w:r>
            <w:r w:rsidRPr="0003743C">
              <w:rPr>
                <w:rFonts w:ascii="Times New Roman" w:eastAsia="標楷體" w:hAnsi="Times New Roman"/>
              </w:rPr>
              <w:t>、蛋白質酪胺酸激酶</w:t>
            </w:r>
            <w:r w:rsidRPr="0003743C">
              <w:rPr>
                <w:rFonts w:ascii="Times New Roman" w:eastAsia="標楷體" w:hAnsi="Times New Roman"/>
              </w:rPr>
              <w:t>(BRK)</w:t>
            </w:r>
            <w:r w:rsidRPr="0003743C">
              <w:rPr>
                <w:rFonts w:ascii="Times New Roman" w:eastAsia="標楷體" w:hAnsi="Times New Roman"/>
              </w:rPr>
              <w:t>的成員、</w:t>
            </w:r>
            <w:r w:rsidRPr="0003743C">
              <w:rPr>
                <w:rFonts w:ascii="Times New Roman" w:eastAsia="標楷體" w:hAnsi="Times New Roman"/>
              </w:rPr>
              <w:t>TIE2</w:t>
            </w:r>
            <w:r w:rsidRPr="0003743C">
              <w:rPr>
                <w:rFonts w:ascii="Times New Roman" w:eastAsia="標楷體" w:hAnsi="Times New Roman"/>
              </w:rPr>
              <w:t>、</w:t>
            </w:r>
            <w:r w:rsidRPr="0003743C">
              <w:rPr>
                <w:rFonts w:ascii="Times New Roman" w:eastAsia="標楷體" w:hAnsi="Times New Roman"/>
              </w:rPr>
              <w:t>EPH</w:t>
            </w:r>
            <w:r w:rsidRPr="0003743C">
              <w:rPr>
                <w:rFonts w:ascii="Times New Roman" w:eastAsia="標楷體" w:hAnsi="Times New Roman"/>
              </w:rPr>
              <w:t>受體激酶家族的成員、和酪胺酸激酶</w:t>
            </w:r>
            <w:r w:rsidR="0003743C">
              <w:rPr>
                <w:rFonts w:ascii="Times New Roman" w:eastAsia="標楷體" w:hAnsi="Times New Roman"/>
              </w:rPr>
              <w:t>Src</w:t>
            </w:r>
            <w:r w:rsidRPr="0003743C">
              <w:rPr>
                <w:rFonts w:ascii="Times New Roman" w:eastAsia="標楷體" w:hAnsi="Times New Roman"/>
              </w:rPr>
              <w:t>成員的活性。這些酪胺酸激酶成員參與正常細胞功能及病理進程，像是腫瘤形成、轉移、腫瘤血管生成、和腫瘤微環境的維持。除此之外，此藥</w:t>
            </w:r>
            <w:r w:rsidRPr="0003743C">
              <w:rPr>
                <w:rFonts w:ascii="Times New Roman" w:eastAsia="標楷體" w:hAnsi="Times New Roman"/>
              </w:rPr>
              <w:t xml:space="preserve">N‐desmethyl </w:t>
            </w:r>
            <w:r w:rsidRPr="0003743C">
              <w:rPr>
                <w:rFonts w:ascii="Times New Roman" w:eastAsia="標楷體" w:hAnsi="Times New Roman"/>
              </w:rPr>
              <w:t>代謝物，呈現</w:t>
            </w:r>
            <w:r w:rsidRPr="0003743C">
              <w:rPr>
                <w:rFonts w:ascii="Times New Roman" w:eastAsia="標楷體" w:hAnsi="Times New Roman"/>
              </w:rPr>
              <w:t>7~17%</w:t>
            </w:r>
            <w:r w:rsidRPr="0003743C">
              <w:rPr>
                <w:rFonts w:ascii="Times New Roman" w:eastAsia="標楷體" w:hAnsi="Times New Roman"/>
              </w:rPr>
              <w:t>的</w:t>
            </w:r>
            <w:r w:rsidRPr="0003743C">
              <w:rPr>
                <w:rFonts w:ascii="Times New Roman" w:eastAsia="標楷體" w:hAnsi="Times New Roman"/>
              </w:rPr>
              <w:t>vandetanib</w:t>
            </w:r>
            <w:r w:rsidRPr="0003743C">
              <w:rPr>
                <w:rFonts w:ascii="Times New Roman" w:eastAsia="標楷體" w:hAnsi="Times New Roman"/>
              </w:rPr>
              <w:t>暴露量，對</w:t>
            </w:r>
            <w:r w:rsidRPr="0003743C">
              <w:rPr>
                <w:rFonts w:ascii="Times New Roman" w:eastAsia="標楷體" w:hAnsi="Times New Roman"/>
              </w:rPr>
              <w:t>VEGF</w:t>
            </w:r>
            <w:r w:rsidRPr="0003743C">
              <w:rPr>
                <w:rFonts w:ascii="Times New Roman" w:eastAsia="標楷體" w:hAnsi="Times New Roman"/>
              </w:rPr>
              <w:t>受體</w:t>
            </w:r>
            <w:r w:rsidRPr="0003743C">
              <w:rPr>
                <w:rFonts w:ascii="Times New Roman" w:eastAsia="標楷體" w:hAnsi="Times New Roman"/>
              </w:rPr>
              <w:t>(KDR and Flt‐1)</w:t>
            </w:r>
            <w:r w:rsidRPr="0003743C">
              <w:rPr>
                <w:rFonts w:ascii="Times New Roman" w:eastAsia="標楷體" w:hAnsi="Times New Roman"/>
              </w:rPr>
              <w:t>及</w:t>
            </w:r>
            <w:r w:rsidRPr="0003743C">
              <w:rPr>
                <w:rFonts w:ascii="Times New Roman" w:eastAsia="標楷體" w:hAnsi="Times New Roman"/>
              </w:rPr>
              <w:t>EGFR</w:t>
            </w:r>
            <w:r w:rsidRPr="0003743C">
              <w:rPr>
                <w:rFonts w:ascii="Times New Roman" w:eastAsia="標楷體" w:hAnsi="Times New Roman"/>
              </w:rPr>
              <w:t>與原型藥具有相似之抑制活性。體外</w:t>
            </w:r>
            <w:r w:rsidR="0003743C">
              <w:rPr>
                <w:rFonts w:ascii="Times New Roman" w:eastAsia="標楷體" w:hAnsi="Times New Roman"/>
              </w:rPr>
              <w:t>vandetanib</w:t>
            </w:r>
            <w:r w:rsidRPr="0003743C">
              <w:rPr>
                <w:rFonts w:ascii="Times New Roman" w:eastAsia="標楷體" w:hAnsi="Times New Roman"/>
              </w:rPr>
              <w:t>抑制腫瘤細胞和內皮細胞中表皮生長因子</w:t>
            </w:r>
            <w:r w:rsidRPr="0003743C">
              <w:rPr>
                <w:rFonts w:ascii="Times New Roman" w:eastAsia="標楷體" w:hAnsi="Times New Roman"/>
              </w:rPr>
              <w:t>(EGF)</w:t>
            </w:r>
            <w:r w:rsidRPr="0003743C">
              <w:rPr>
                <w:rFonts w:ascii="Times New Roman" w:eastAsia="標楷體" w:hAnsi="Times New Roman"/>
              </w:rPr>
              <w:t>刺激的受體酪胺酸激酶磷酸化，和內皮細胞中</w:t>
            </w:r>
            <w:r w:rsidRPr="0003743C">
              <w:rPr>
                <w:rFonts w:ascii="Times New Roman" w:eastAsia="標楷體" w:hAnsi="Times New Roman"/>
              </w:rPr>
              <w:t>VEGF</w:t>
            </w:r>
            <w:r w:rsidRPr="0003743C">
              <w:rPr>
                <w:rFonts w:ascii="Times New Roman" w:eastAsia="標楷體" w:hAnsi="Times New Roman"/>
              </w:rPr>
              <w:t>刺激的酪胺酸激酶磷酸化。在體外血管生成模型中，</w:t>
            </w:r>
            <w:r w:rsidR="0003743C">
              <w:rPr>
                <w:rFonts w:ascii="Times New Roman" w:eastAsia="標楷體" w:hAnsi="Times New Roman"/>
              </w:rPr>
              <w:t>vandetanib</w:t>
            </w:r>
            <w:r w:rsidRPr="0003743C">
              <w:rPr>
                <w:rFonts w:ascii="Times New Roman" w:eastAsia="標楷體" w:hAnsi="Times New Roman"/>
              </w:rPr>
              <w:t>抑制內皮細胞遷移、增殖、生存和新血管生成。在活體小鼠腫瘤模型中，給予</w:t>
            </w:r>
            <w:r w:rsidRPr="0003743C">
              <w:rPr>
                <w:rFonts w:ascii="Times New Roman" w:eastAsia="標楷體" w:hAnsi="Times New Roman"/>
              </w:rPr>
              <w:t>vandetanib</w:t>
            </w:r>
            <w:r w:rsidRPr="0003743C">
              <w:rPr>
                <w:rFonts w:ascii="Times New Roman" w:eastAsia="標楷體" w:hAnsi="Times New Roman"/>
              </w:rPr>
              <w:t>減少腫瘤細胞誘導的血管生成、腫瘤血管通透性、</w:t>
            </w:r>
            <w:r w:rsidR="00EF4CAF">
              <w:rPr>
                <w:rFonts w:ascii="Times New Roman" w:eastAsia="標楷體" w:hAnsi="Times New Roman"/>
              </w:rPr>
              <w:t>抑制腫瘤生長和轉移</w:t>
            </w:r>
            <w:r w:rsidR="00D221D6" w:rsidRPr="0003743C">
              <w:rPr>
                <w:rFonts w:ascii="Times New Roman" w:eastAsia="標楷體" w:hAnsi="Times New Roman" w:hint="eastAsia"/>
              </w:rPr>
              <w:t>。</w:t>
            </w:r>
          </w:p>
        </w:tc>
      </w:tr>
      <w:tr w:rsidR="00D221D6" w:rsidRPr="00386048" w:rsidTr="0058462B">
        <w:tc>
          <w:tcPr>
            <w:tcW w:w="970" w:type="dxa"/>
            <w:tcBorders>
              <w:bottom w:val="single" w:sz="4" w:space="0" w:color="auto"/>
            </w:tcBorders>
            <w:vAlign w:val="center"/>
          </w:tcPr>
          <w:p w:rsidR="00D221D6" w:rsidRPr="00386048" w:rsidRDefault="00D221D6" w:rsidP="001A6264">
            <w:pPr>
              <w:widowControl/>
              <w:jc w:val="both"/>
              <w:rPr>
                <w:rFonts w:ascii="Times New Roman" w:eastAsia="標楷體" w:hAnsi="Times New Roman"/>
              </w:rPr>
            </w:pPr>
            <w:r w:rsidRPr="00386048">
              <w:rPr>
                <w:rFonts w:ascii="Times New Roman" w:eastAsia="標楷體" w:hAnsi="Times New Roman"/>
              </w:rPr>
              <w:t>適應症</w:t>
            </w:r>
          </w:p>
        </w:tc>
        <w:tc>
          <w:tcPr>
            <w:tcW w:w="14482" w:type="dxa"/>
            <w:tcBorders>
              <w:bottom w:val="single" w:sz="4" w:space="0" w:color="auto"/>
            </w:tcBorders>
          </w:tcPr>
          <w:p w:rsidR="00D221D6" w:rsidRPr="002265C2" w:rsidRDefault="002265C2" w:rsidP="002265C2">
            <w:pPr>
              <w:widowControl/>
              <w:rPr>
                <w:rFonts w:ascii="Times New Roman" w:eastAsia="標楷體" w:hAnsi="Times New Roman"/>
              </w:rPr>
            </w:pPr>
            <w:r w:rsidRPr="002265C2">
              <w:rPr>
                <w:rFonts w:ascii="Times New Roman" w:eastAsia="標楷體" w:hAnsi="Times New Roman"/>
              </w:rPr>
              <w:t>適用於治療無法進行手術切除的局部侵犯或轉移性甲狀腺髓質癌，並且為症狀性及疾病侵襲性的患者</w:t>
            </w:r>
            <w:r w:rsidRPr="002265C2">
              <w:rPr>
                <w:rFonts w:ascii="Times New Roman" w:eastAsia="標楷體" w:hAnsi="Times New Roman"/>
              </w:rPr>
              <w:t>(aggressive and symptomatic medullary thyroid cancer (MTC) in patients with unresectable locally advanced or metastatic disease)</w:t>
            </w:r>
            <w:r w:rsidR="00D221D6" w:rsidRPr="002265C2">
              <w:rPr>
                <w:rFonts w:ascii="Times New Roman" w:eastAsia="標楷體" w:hAnsi="Times New Roman" w:hint="eastAsia"/>
              </w:rPr>
              <w:t>。</w:t>
            </w:r>
          </w:p>
        </w:tc>
      </w:tr>
      <w:tr w:rsidR="00D221D6" w:rsidRPr="00332900" w:rsidTr="002265C2">
        <w:tc>
          <w:tcPr>
            <w:tcW w:w="15452" w:type="dxa"/>
            <w:gridSpan w:val="2"/>
            <w:tcBorders>
              <w:left w:val="nil"/>
              <w:right w:val="nil"/>
            </w:tcBorders>
          </w:tcPr>
          <w:p w:rsidR="00D221D6" w:rsidRPr="0001660E" w:rsidRDefault="0001660E" w:rsidP="003555E5">
            <w:pPr>
              <w:pStyle w:val="a9"/>
              <w:widowControl/>
              <w:numPr>
                <w:ilvl w:val="0"/>
                <w:numId w:val="6"/>
              </w:numPr>
              <w:ind w:leftChars="0"/>
              <w:rPr>
                <w:rFonts w:ascii="Times New Roman" w:eastAsia="標楷體" w:hAnsi="Times New Roman"/>
                <w:b/>
              </w:rPr>
            </w:pPr>
            <w:r w:rsidRPr="0001660E">
              <w:rPr>
                <w:rFonts w:ascii="Times New Roman" w:eastAsia="標楷體"/>
                <w:b/>
                <w:bCs/>
                <w:color w:val="000000" w:themeColor="text1"/>
                <w:kern w:val="36"/>
                <w:lang w:bidi="hi-IN"/>
              </w:rPr>
              <w:t>Cabozantinib</w:t>
            </w:r>
          </w:p>
        </w:tc>
      </w:tr>
      <w:tr w:rsidR="00D221D6" w:rsidRPr="00386048" w:rsidTr="0058462B">
        <w:tc>
          <w:tcPr>
            <w:tcW w:w="970" w:type="dxa"/>
            <w:vAlign w:val="center"/>
          </w:tcPr>
          <w:p w:rsidR="00D221D6" w:rsidRPr="00386048" w:rsidRDefault="00D221D6" w:rsidP="001A6264">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Pr>
          <w:p w:rsidR="00D221D6" w:rsidRPr="00386048" w:rsidRDefault="00B65817" w:rsidP="001A6264">
            <w:pPr>
              <w:widowControl/>
              <w:rPr>
                <w:rFonts w:ascii="Times New Roman" w:eastAsia="標楷體" w:hAnsi="Times New Roman"/>
              </w:rPr>
            </w:pPr>
            <w:r>
              <w:rPr>
                <w:rFonts w:ascii="Times New Roman" w:eastAsia="標楷體" w:hAnsi="Times New Roman" w:hint="eastAsia"/>
              </w:rPr>
              <w:t>體外生化及</w:t>
            </w:r>
            <w:r>
              <w:rPr>
                <w:rFonts w:ascii="Times New Roman" w:eastAsia="標楷體" w:hAnsi="Times New Roman" w:hint="eastAsia"/>
              </w:rPr>
              <w:t>/</w:t>
            </w:r>
            <w:r>
              <w:rPr>
                <w:rFonts w:ascii="Times New Roman" w:eastAsia="標楷體" w:hAnsi="Times New Roman" w:hint="eastAsia"/>
              </w:rPr>
              <w:t>或細胞分析顯示，</w:t>
            </w:r>
            <w:r>
              <w:rPr>
                <w:rFonts w:ascii="Times New Roman" w:eastAsia="標楷體" w:hAnsi="Times New Roman" w:hint="eastAsia"/>
              </w:rPr>
              <w:t>cabozantinib</w:t>
            </w:r>
            <w:r>
              <w:rPr>
                <w:rFonts w:ascii="Times New Roman" w:eastAsia="標楷體" w:hAnsi="Times New Roman" w:hint="eastAsia"/>
              </w:rPr>
              <w:t>會抑制酪胺酸</w:t>
            </w:r>
            <w:r w:rsidR="0058462B">
              <w:rPr>
                <w:rFonts w:ascii="Times New Roman" w:eastAsia="標楷體" w:hAnsi="Times New Roman" w:hint="eastAsia"/>
              </w:rPr>
              <w:t>激酶活性</w:t>
            </w:r>
            <w:r w:rsidR="0058462B">
              <w:rPr>
                <w:rFonts w:ascii="Times New Roman" w:eastAsia="標楷體" w:hAnsi="Times New Roman" w:hint="eastAsia"/>
              </w:rPr>
              <w:t>(</w:t>
            </w:r>
            <w:r w:rsidR="0058462B">
              <w:rPr>
                <w:rFonts w:ascii="Times New Roman" w:eastAsia="標楷體" w:hAnsi="Times New Roman"/>
              </w:rPr>
              <w:t>tyrosine kinase activity</w:t>
            </w:r>
            <w:r w:rsidR="0058462B">
              <w:rPr>
                <w:rFonts w:ascii="Times New Roman" w:eastAsia="標楷體" w:hAnsi="Times New Roman" w:hint="eastAsia"/>
              </w:rPr>
              <w:t>)</w:t>
            </w:r>
            <w:r w:rsidR="0058462B">
              <w:rPr>
                <w:rFonts w:ascii="Times New Roman" w:eastAsia="標楷體" w:hAnsi="Times New Roman" w:hint="eastAsia"/>
              </w:rPr>
              <w:t>，包含</w:t>
            </w:r>
            <w:r>
              <w:rPr>
                <w:rFonts w:ascii="Times New Roman" w:eastAsia="標楷體" w:hAnsi="Times New Roman" w:hint="eastAsia"/>
              </w:rPr>
              <w:t>MET(</w:t>
            </w:r>
            <w:r>
              <w:rPr>
                <w:rFonts w:ascii="Times New Roman" w:eastAsia="標楷體" w:hAnsi="Times New Roman" w:hint="eastAsia"/>
              </w:rPr>
              <w:t>肝細胞生長因子受體蛋白</w:t>
            </w:r>
            <w:r>
              <w:rPr>
                <w:rFonts w:ascii="Times New Roman" w:eastAsia="標楷體" w:hAnsi="Times New Roman" w:hint="eastAsia"/>
              </w:rPr>
              <w:t>)</w:t>
            </w:r>
            <w:r>
              <w:rPr>
                <w:rFonts w:ascii="Times New Roman" w:eastAsia="標楷體" w:hAnsi="Times New Roman" w:hint="eastAsia"/>
              </w:rPr>
              <w:t>、</w:t>
            </w:r>
            <w:r>
              <w:rPr>
                <w:rFonts w:ascii="Times New Roman" w:eastAsia="標楷體" w:hAnsi="Times New Roman" w:hint="eastAsia"/>
              </w:rPr>
              <w:t>VEGFR</w:t>
            </w:r>
            <w:r>
              <w:rPr>
                <w:rFonts w:ascii="Times New Roman" w:eastAsia="標楷體" w:hAnsi="Times New Roman"/>
              </w:rPr>
              <w:t>-1</w:t>
            </w:r>
            <w:r>
              <w:rPr>
                <w:rFonts w:ascii="Times New Roman" w:eastAsia="標楷體" w:hAnsi="Times New Roman" w:hint="eastAsia"/>
              </w:rPr>
              <w:t>(</w:t>
            </w:r>
            <w:r>
              <w:rPr>
                <w:rFonts w:ascii="Times New Roman" w:eastAsia="標楷體" w:hAnsi="Times New Roman" w:hint="eastAsia"/>
              </w:rPr>
              <w:t>血管內皮生長因子受體</w:t>
            </w:r>
            <w:r>
              <w:rPr>
                <w:rFonts w:ascii="Times New Roman" w:eastAsia="標楷體" w:hAnsi="Times New Roman" w:hint="eastAsia"/>
              </w:rPr>
              <w:t>-1)</w:t>
            </w:r>
            <w:r>
              <w:rPr>
                <w:rFonts w:ascii="Times New Roman" w:eastAsia="標楷體" w:hAnsi="Times New Roman" w:hint="eastAsia"/>
              </w:rPr>
              <w:t>、</w:t>
            </w:r>
            <w:r>
              <w:rPr>
                <w:rFonts w:ascii="Times New Roman" w:eastAsia="標楷體" w:hAnsi="Times New Roman" w:hint="eastAsia"/>
              </w:rPr>
              <w:t>VEGFR</w:t>
            </w:r>
            <w:r>
              <w:rPr>
                <w:rFonts w:ascii="Times New Roman" w:eastAsia="標楷體" w:hAnsi="Times New Roman"/>
              </w:rPr>
              <w:t>-</w:t>
            </w:r>
            <w:r>
              <w:rPr>
                <w:rFonts w:ascii="Times New Roman" w:eastAsia="標楷體" w:hAnsi="Times New Roman" w:hint="eastAsia"/>
              </w:rPr>
              <w:t>2</w:t>
            </w:r>
            <w:r>
              <w:rPr>
                <w:rFonts w:ascii="Times New Roman" w:eastAsia="標楷體" w:hAnsi="Times New Roman" w:hint="eastAsia"/>
              </w:rPr>
              <w:t>、</w:t>
            </w:r>
            <w:r>
              <w:rPr>
                <w:rFonts w:ascii="Times New Roman" w:eastAsia="標楷體" w:hAnsi="Times New Roman" w:hint="eastAsia"/>
              </w:rPr>
              <w:t>VEGFR</w:t>
            </w:r>
            <w:r>
              <w:rPr>
                <w:rFonts w:ascii="Times New Roman" w:eastAsia="標楷體" w:hAnsi="Times New Roman"/>
              </w:rPr>
              <w:t>-</w:t>
            </w:r>
            <w:r>
              <w:rPr>
                <w:rFonts w:ascii="Times New Roman" w:eastAsia="標楷體" w:hAnsi="Times New Roman" w:hint="eastAsia"/>
              </w:rPr>
              <w:t>3</w:t>
            </w:r>
            <w:r>
              <w:rPr>
                <w:rFonts w:ascii="Times New Roman" w:eastAsia="標楷體" w:hAnsi="Times New Roman" w:hint="eastAsia"/>
              </w:rPr>
              <w:t>、</w:t>
            </w:r>
            <w:r>
              <w:rPr>
                <w:rFonts w:ascii="Times New Roman" w:eastAsia="標楷體" w:hAnsi="Times New Roman" w:hint="eastAsia"/>
              </w:rPr>
              <w:t>AXL</w:t>
            </w:r>
            <w:r>
              <w:rPr>
                <w:rFonts w:ascii="Times New Roman" w:eastAsia="標楷體" w:hAnsi="Times New Roman" w:hint="eastAsia"/>
              </w:rPr>
              <w:t>、</w:t>
            </w:r>
            <w:r>
              <w:rPr>
                <w:rFonts w:ascii="Times New Roman" w:eastAsia="標楷體" w:hAnsi="Times New Roman" w:hint="eastAsia"/>
              </w:rPr>
              <w:t>RET</w:t>
            </w:r>
            <w:r>
              <w:rPr>
                <w:rFonts w:ascii="Times New Roman" w:eastAsia="標楷體" w:hAnsi="Times New Roman" w:hint="eastAsia"/>
              </w:rPr>
              <w:t>、</w:t>
            </w:r>
            <w:r>
              <w:rPr>
                <w:rFonts w:ascii="Times New Roman" w:eastAsia="標楷體" w:hAnsi="Times New Roman" w:hint="eastAsia"/>
              </w:rPr>
              <w:t>ROS1</w:t>
            </w:r>
            <w:r>
              <w:rPr>
                <w:rFonts w:ascii="Times New Roman" w:eastAsia="標楷體" w:hAnsi="Times New Roman" w:hint="eastAsia"/>
              </w:rPr>
              <w:t>、</w:t>
            </w:r>
            <w:r>
              <w:rPr>
                <w:rFonts w:ascii="Times New Roman" w:eastAsia="標楷體" w:hAnsi="Times New Roman" w:hint="eastAsia"/>
              </w:rPr>
              <w:t>TYRO3</w:t>
            </w:r>
            <w:r>
              <w:rPr>
                <w:rFonts w:ascii="Times New Roman" w:eastAsia="標楷體" w:hAnsi="Times New Roman" w:hint="eastAsia"/>
              </w:rPr>
              <w:t>、</w:t>
            </w:r>
            <w:r>
              <w:rPr>
                <w:rFonts w:ascii="Times New Roman" w:eastAsia="標楷體" w:hAnsi="Times New Roman" w:hint="eastAsia"/>
              </w:rPr>
              <w:t>MER</w:t>
            </w:r>
            <w:r>
              <w:rPr>
                <w:rFonts w:ascii="Times New Roman" w:eastAsia="標楷體" w:hAnsi="Times New Roman" w:hint="eastAsia"/>
              </w:rPr>
              <w:t>、</w:t>
            </w:r>
            <w:r>
              <w:rPr>
                <w:rFonts w:ascii="Times New Roman" w:eastAsia="標楷體" w:hAnsi="Times New Roman" w:hint="eastAsia"/>
              </w:rPr>
              <w:t>KIT</w:t>
            </w:r>
            <w:r>
              <w:rPr>
                <w:rFonts w:ascii="Times New Roman" w:eastAsia="標楷體" w:hAnsi="Times New Roman" w:hint="eastAsia"/>
              </w:rPr>
              <w:t>、</w:t>
            </w:r>
            <w:r>
              <w:rPr>
                <w:rFonts w:ascii="Times New Roman" w:eastAsia="標楷體" w:hAnsi="Times New Roman" w:hint="eastAsia"/>
              </w:rPr>
              <w:t>TPKB</w:t>
            </w:r>
            <w:r>
              <w:rPr>
                <w:rFonts w:ascii="Times New Roman" w:eastAsia="標楷體" w:hAnsi="Times New Roman" w:hint="eastAsia"/>
              </w:rPr>
              <w:t>、</w:t>
            </w:r>
            <w:r>
              <w:rPr>
                <w:rFonts w:ascii="Times New Roman" w:eastAsia="標楷體" w:hAnsi="Times New Roman" w:hint="eastAsia"/>
              </w:rPr>
              <w:t>FLT-3</w:t>
            </w:r>
            <w:r>
              <w:rPr>
                <w:rFonts w:ascii="Times New Roman" w:eastAsia="標楷體" w:hAnsi="Times New Roman" w:hint="eastAsia"/>
              </w:rPr>
              <w:t>及</w:t>
            </w:r>
            <w:r>
              <w:rPr>
                <w:rFonts w:ascii="Times New Roman" w:eastAsia="標楷體" w:hAnsi="Times New Roman" w:hint="eastAsia"/>
              </w:rPr>
              <w:t>TIE</w:t>
            </w:r>
            <w:r>
              <w:rPr>
                <w:rFonts w:ascii="Times New Roman" w:eastAsia="標楷體" w:hAnsi="Times New Roman"/>
              </w:rPr>
              <w:t>-2</w:t>
            </w:r>
            <w:r w:rsidR="0058462B">
              <w:rPr>
                <w:rFonts w:ascii="Times New Roman" w:eastAsia="標楷體" w:hAnsi="Times New Roman" w:hint="eastAsia"/>
              </w:rPr>
              <w:t>。這些酪胺酸激酶受體參與了維持正常細胞功能及細胞病變的過程，如腫瘤形成</w:t>
            </w:r>
            <w:r>
              <w:rPr>
                <w:rFonts w:ascii="Times New Roman" w:eastAsia="標楷體" w:hAnsi="Times New Roman" w:hint="eastAsia"/>
              </w:rPr>
              <w:t>、</w:t>
            </w:r>
            <w:r w:rsidR="0058462B">
              <w:rPr>
                <w:rFonts w:ascii="Times New Roman" w:eastAsia="標楷體" w:hAnsi="Times New Roman" w:hint="eastAsia"/>
              </w:rPr>
              <w:t>腫瘤細胞轉移</w:t>
            </w:r>
            <w:r>
              <w:rPr>
                <w:rFonts w:ascii="Times New Roman" w:eastAsia="標楷體" w:hAnsi="Times New Roman" w:hint="eastAsia"/>
              </w:rPr>
              <w:t>、</w:t>
            </w:r>
            <w:r w:rsidR="0058462B">
              <w:rPr>
                <w:rFonts w:ascii="Times New Roman" w:eastAsia="標楷體" w:hAnsi="Times New Roman" w:hint="eastAsia"/>
              </w:rPr>
              <w:t>腫瘤血管新生、抗藥性及腫瘤微環境的維持</w:t>
            </w:r>
            <w:r w:rsidR="00D221D6" w:rsidRPr="00D72185">
              <w:rPr>
                <w:rFonts w:ascii="Times New Roman" w:eastAsia="標楷體" w:hAnsi="Times New Roman"/>
              </w:rPr>
              <w:t>。</w:t>
            </w:r>
          </w:p>
        </w:tc>
      </w:tr>
      <w:tr w:rsidR="00D221D6" w:rsidRPr="00386048" w:rsidTr="0058462B">
        <w:tc>
          <w:tcPr>
            <w:tcW w:w="970" w:type="dxa"/>
            <w:tcBorders>
              <w:bottom w:val="single" w:sz="4" w:space="0" w:color="auto"/>
            </w:tcBorders>
            <w:vAlign w:val="center"/>
          </w:tcPr>
          <w:p w:rsidR="00D221D6" w:rsidRPr="00386048" w:rsidRDefault="00D221D6" w:rsidP="001A6264">
            <w:pPr>
              <w:widowControl/>
              <w:jc w:val="both"/>
              <w:rPr>
                <w:rFonts w:ascii="Times New Roman" w:eastAsia="標楷體" w:hAnsi="Times New Roman"/>
              </w:rPr>
            </w:pPr>
            <w:r w:rsidRPr="00386048">
              <w:rPr>
                <w:rFonts w:ascii="Times New Roman" w:eastAsia="標楷體" w:hAnsi="Times New Roman"/>
              </w:rPr>
              <w:t>適應症</w:t>
            </w:r>
          </w:p>
        </w:tc>
        <w:tc>
          <w:tcPr>
            <w:tcW w:w="14482" w:type="dxa"/>
            <w:tcBorders>
              <w:bottom w:val="single" w:sz="4" w:space="0" w:color="auto"/>
            </w:tcBorders>
          </w:tcPr>
          <w:p w:rsidR="00227C0F" w:rsidRDefault="00227C0F" w:rsidP="003555E5">
            <w:pPr>
              <w:pStyle w:val="a9"/>
              <w:widowControl/>
              <w:numPr>
                <w:ilvl w:val="0"/>
                <w:numId w:val="4"/>
              </w:numPr>
              <w:tabs>
                <w:tab w:val="left" w:pos="3255"/>
              </w:tabs>
              <w:ind w:leftChars="0"/>
              <w:rPr>
                <w:rFonts w:ascii="Times New Roman" w:eastAsia="標楷體" w:hAnsi="Times New Roman"/>
              </w:rPr>
            </w:pPr>
            <w:r>
              <w:rPr>
                <w:rFonts w:ascii="Times New Roman" w:eastAsia="標楷體" w:hAnsi="Times New Roman" w:hint="eastAsia"/>
              </w:rPr>
              <w:t>腎細胞癌</w:t>
            </w:r>
            <w:r w:rsidR="000A7AC6">
              <w:rPr>
                <w:rFonts w:ascii="Times New Roman" w:eastAsia="標楷體" w:hAnsi="Times New Roman" w:hint="eastAsia"/>
              </w:rPr>
              <w:t>：</w:t>
            </w:r>
          </w:p>
          <w:p w:rsidR="00D221D6" w:rsidRDefault="00227C0F" w:rsidP="003555E5">
            <w:pPr>
              <w:pStyle w:val="a9"/>
              <w:widowControl/>
              <w:numPr>
                <w:ilvl w:val="0"/>
                <w:numId w:val="7"/>
              </w:numPr>
              <w:tabs>
                <w:tab w:val="left" w:pos="3255"/>
              </w:tabs>
              <w:ind w:leftChars="0"/>
              <w:rPr>
                <w:rFonts w:ascii="Times New Roman" w:eastAsia="標楷體" w:hAnsi="Times New Roman"/>
              </w:rPr>
            </w:pPr>
            <w:r w:rsidRPr="00227C0F">
              <w:rPr>
                <w:rFonts w:ascii="Times New Roman" w:eastAsia="標楷體" w:hAnsi="Times New Roman"/>
              </w:rPr>
              <w:t>未曾接受過治療的中度</w:t>
            </w:r>
            <w:r w:rsidRPr="00227C0F">
              <w:rPr>
                <w:rFonts w:ascii="Times New Roman" w:eastAsia="標楷體" w:hAnsi="Times New Roman"/>
              </w:rPr>
              <w:t>/</w:t>
            </w:r>
            <w:r w:rsidRPr="00227C0F">
              <w:rPr>
                <w:rFonts w:ascii="Times New Roman" w:eastAsia="標楷體" w:hAnsi="Times New Roman"/>
              </w:rPr>
              <w:t>重度風險晚期腎細胞癌病人</w:t>
            </w:r>
          </w:p>
          <w:p w:rsidR="00227C0F" w:rsidRDefault="00227C0F" w:rsidP="003555E5">
            <w:pPr>
              <w:pStyle w:val="a9"/>
              <w:widowControl/>
              <w:numPr>
                <w:ilvl w:val="0"/>
                <w:numId w:val="7"/>
              </w:numPr>
              <w:tabs>
                <w:tab w:val="left" w:pos="3255"/>
              </w:tabs>
              <w:ind w:leftChars="0"/>
              <w:rPr>
                <w:rFonts w:ascii="Times New Roman" w:eastAsia="標楷體" w:hAnsi="Times New Roman"/>
              </w:rPr>
            </w:pPr>
            <w:r w:rsidRPr="00227C0F">
              <w:rPr>
                <w:rFonts w:ascii="Times New Roman" w:eastAsia="標楷體" w:hAnsi="Times New Roman"/>
              </w:rPr>
              <w:t>先前經抗血管新生療法</w:t>
            </w:r>
            <w:r w:rsidRPr="00227C0F">
              <w:rPr>
                <w:rFonts w:ascii="Times New Roman" w:eastAsia="標楷體" w:hAnsi="Times New Roman"/>
              </w:rPr>
              <w:t>(anti-angiogenic therapy)</w:t>
            </w:r>
            <w:r w:rsidRPr="00227C0F">
              <w:rPr>
                <w:rFonts w:ascii="Times New Roman" w:eastAsia="標楷體" w:hAnsi="Times New Roman"/>
              </w:rPr>
              <w:t>的晚期腎細胞癌病人。</w:t>
            </w:r>
          </w:p>
          <w:p w:rsidR="00227C0F" w:rsidRPr="008A3F92" w:rsidRDefault="000A7AC6" w:rsidP="003555E5">
            <w:pPr>
              <w:pStyle w:val="a9"/>
              <w:widowControl/>
              <w:numPr>
                <w:ilvl w:val="0"/>
                <w:numId w:val="4"/>
              </w:numPr>
              <w:tabs>
                <w:tab w:val="left" w:pos="3255"/>
              </w:tabs>
              <w:ind w:leftChars="0"/>
              <w:rPr>
                <w:rFonts w:ascii="Times New Roman" w:eastAsia="標楷體" w:hAnsi="Times New Roman"/>
              </w:rPr>
            </w:pPr>
            <w:r>
              <w:rPr>
                <w:rFonts w:ascii="Times New Roman" w:eastAsia="標楷體" w:hAnsi="Times New Roman" w:hint="eastAsia"/>
              </w:rPr>
              <w:t>肝細胞癌：</w:t>
            </w:r>
            <w:r w:rsidR="00227C0F">
              <w:rPr>
                <w:rFonts w:ascii="Times New Roman" w:eastAsia="標楷體" w:hAnsi="Times New Roman" w:hint="eastAsia"/>
              </w:rPr>
              <w:t>適用於</w:t>
            </w:r>
            <w:r w:rsidR="00227C0F" w:rsidRPr="00227C0F">
              <w:rPr>
                <w:rFonts w:ascii="Times New Roman" w:eastAsia="標楷體" w:hAnsi="Times New Roman"/>
              </w:rPr>
              <w:t>曾接受過</w:t>
            </w:r>
            <w:r w:rsidR="00227C0F">
              <w:rPr>
                <w:rFonts w:ascii="Times New Roman" w:eastAsia="標楷體" w:hAnsi="Times New Roman"/>
              </w:rPr>
              <w:t>sorafenib</w:t>
            </w:r>
            <w:r w:rsidR="00227C0F" w:rsidRPr="00227C0F">
              <w:rPr>
                <w:rFonts w:ascii="Times New Roman" w:eastAsia="標楷體" w:hAnsi="Times New Roman"/>
              </w:rPr>
              <w:t>治療之肝細胞癌病人。</w:t>
            </w:r>
          </w:p>
        </w:tc>
      </w:tr>
      <w:tr w:rsidR="00D85BCD" w:rsidRPr="0001660E" w:rsidTr="00E1272F">
        <w:tc>
          <w:tcPr>
            <w:tcW w:w="15452" w:type="dxa"/>
            <w:gridSpan w:val="2"/>
            <w:tcBorders>
              <w:left w:val="nil"/>
              <w:right w:val="nil"/>
            </w:tcBorders>
          </w:tcPr>
          <w:p w:rsidR="00D85BCD" w:rsidRPr="0001660E" w:rsidRDefault="00D85BCD" w:rsidP="003555E5">
            <w:pPr>
              <w:pStyle w:val="a9"/>
              <w:widowControl/>
              <w:numPr>
                <w:ilvl w:val="0"/>
                <w:numId w:val="6"/>
              </w:numPr>
              <w:ind w:leftChars="0"/>
              <w:rPr>
                <w:rFonts w:ascii="Times New Roman" w:eastAsia="標楷體" w:hAnsi="Times New Roman"/>
                <w:b/>
              </w:rPr>
            </w:pPr>
            <w:r w:rsidRPr="0001660E">
              <w:rPr>
                <w:rFonts w:ascii="Times New Roman" w:eastAsia="標楷體"/>
                <w:b/>
                <w:bCs/>
                <w:color w:val="000000" w:themeColor="text1"/>
                <w:kern w:val="36"/>
                <w:lang w:bidi="hi-IN"/>
              </w:rPr>
              <w:t>Sorafenib</w:t>
            </w:r>
          </w:p>
        </w:tc>
      </w:tr>
      <w:tr w:rsidR="00D85BCD" w:rsidRPr="00386048" w:rsidTr="00E1272F">
        <w:tc>
          <w:tcPr>
            <w:tcW w:w="970" w:type="dxa"/>
            <w:vAlign w:val="center"/>
          </w:tcPr>
          <w:p w:rsidR="00D85BCD" w:rsidRPr="00386048" w:rsidRDefault="00D85BCD" w:rsidP="00D85BCD">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Pr>
          <w:p w:rsidR="00D85BCD" w:rsidRPr="00386048" w:rsidRDefault="00D85BCD" w:rsidP="00D85BCD">
            <w:pPr>
              <w:widowControl/>
              <w:rPr>
                <w:rFonts w:ascii="Times New Roman" w:eastAsia="標楷體" w:hAnsi="Times New Roman"/>
              </w:rPr>
            </w:pPr>
            <w:r>
              <w:rPr>
                <w:rFonts w:ascii="Times New Roman" w:eastAsia="標楷體" w:hAnsi="Times New Roman" w:hint="eastAsia"/>
              </w:rPr>
              <w:t>Sorafenib</w:t>
            </w:r>
            <w:r>
              <w:rPr>
                <w:rFonts w:ascii="Times New Roman" w:eastAsia="標楷體" w:hAnsi="Times New Roman" w:hint="eastAsia"/>
              </w:rPr>
              <w:t>為一種</w:t>
            </w:r>
            <w:r w:rsidRPr="005022AB">
              <w:rPr>
                <w:rFonts w:ascii="Times New Roman" w:eastAsia="標楷體" w:hAnsi="Times New Roman"/>
              </w:rPr>
              <w:t>激酶抑制劑，</w:t>
            </w:r>
            <w:r>
              <w:rPr>
                <w:rFonts w:ascii="Times New Roman" w:eastAsia="標楷體" w:hAnsi="Times New Roman" w:hint="eastAsia"/>
              </w:rPr>
              <w:t>在體外試驗中可降低腫瘤細胞增生</w:t>
            </w:r>
            <w:r w:rsidRPr="00386048">
              <w:rPr>
                <w:rFonts w:ascii="Times New Roman" w:eastAsia="標楷體" w:hAnsi="Times New Roman"/>
              </w:rPr>
              <w:t>。</w:t>
            </w:r>
            <w:r>
              <w:rPr>
                <w:rFonts w:ascii="Times New Roman" w:eastAsia="標楷體" w:hAnsi="Times New Roman" w:hint="eastAsia"/>
              </w:rPr>
              <w:t>Sorafenib</w:t>
            </w:r>
            <w:r>
              <w:rPr>
                <w:rFonts w:ascii="Times New Roman" w:eastAsia="標楷體" w:hAnsi="Times New Roman" w:hint="eastAsia"/>
              </w:rPr>
              <w:t>被證實可抑制多種細胞內</w:t>
            </w:r>
            <w:r>
              <w:rPr>
                <w:rFonts w:ascii="Times New Roman" w:eastAsia="標楷體" w:hAnsi="Times New Roman" w:hint="eastAsia"/>
              </w:rPr>
              <w:t>(</w:t>
            </w:r>
            <w:r>
              <w:rPr>
                <w:rFonts w:ascii="Times New Roman" w:eastAsia="標楷體" w:hAnsi="Times New Roman"/>
              </w:rPr>
              <w:t>CRAF</w:t>
            </w:r>
            <w:r>
              <w:rPr>
                <w:rFonts w:ascii="Times New Roman" w:eastAsia="標楷體" w:hAnsi="Times New Roman" w:hint="eastAsia"/>
              </w:rPr>
              <w:t>、</w:t>
            </w:r>
            <w:r>
              <w:rPr>
                <w:rFonts w:ascii="Times New Roman" w:eastAsia="標楷體" w:hAnsi="Times New Roman" w:hint="eastAsia"/>
              </w:rPr>
              <w:t>BRAF</w:t>
            </w:r>
            <w:r>
              <w:rPr>
                <w:rFonts w:ascii="Times New Roman" w:eastAsia="標楷體" w:hAnsi="Times New Roman" w:hint="eastAsia"/>
              </w:rPr>
              <w:t>和突變型</w:t>
            </w:r>
            <w:r>
              <w:rPr>
                <w:rFonts w:ascii="Times New Roman" w:eastAsia="標楷體" w:hAnsi="Times New Roman" w:hint="eastAsia"/>
              </w:rPr>
              <w:t>BRAF)</w:t>
            </w:r>
            <w:r>
              <w:rPr>
                <w:rFonts w:ascii="Times New Roman" w:eastAsia="標楷體" w:hAnsi="Times New Roman" w:hint="eastAsia"/>
              </w:rPr>
              <w:t>及細胞表面</w:t>
            </w:r>
            <w:r w:rsidRPr="005022AB">
              <w:rPr>
                <w:rFonts w:ascii="Times New Roman" w:eastAsia="標楷體" w:hAnsi="Times New Roman"/>
              </w:rPr>
              <w:t>激酶</w:t>
            </w:r>
            <w:r>
              <w:rPr>
                <w:rFonts w:ascii="Times New Roman" w:eastAsia="標楷體" w:hAnsi="Times New Roman" w:hint="eastAsia"/>
              </w:rPr>
              <w:t>(KIT</w:t>
            </w:r>
            <w:r>
              <w:rPr>
                <w:rFonts w:ascii="Times New Roman" w:eastAsia="標楷體" w:hAnsi="Times New Roman" w:hint="eastAsia"/>
              </w:rPr>
              <w:t>、</w:t>
            </w:r>
            <w:r>
              <w:rPr>
                <w:rFonts w:ascii="Times New Roman" w:eastAsia="標楷體" w:hAnsi="Times New Roman" w:hint="eastAsia"/>
              </w:rPr>
              <w:t>FLT-3</w:t>
            </w:r>
            <w:r>
              <w:rPr>
                <w:rFonts w:ascii="Times New Roman" w:eastAsia="標楷體" w:hAnsi="Times New Roman" w:hint="eastAsia"/>
              </w:rPr>
              <w:t>、</w:t>
            </w:r>
            <w:r>
              <w:rPr>
                <w:rFonts w:ascii="Times New Roman" w:eastAsia="標楷體" w:hAnsi="Times New Roman" w:hint="eastAsia"/>
              </w:rPr>
              <w:t>RET</w:t>
            </w:r>
            <w:r>
              <w:rPr>
                <w:rFonts w:ascii="Times New Roman" w:eastAsia="標楷體" w:hAnsi="Times New Roman" w:hint="eastAsia"/>
              </w:rPr>
              <w:t>、</w:t>
            </w:r>
            <w:r>
              <w:rPr>
                <w:rFonts w:ascii="Times New Roman" w:eastAsia="標楷體" w:hAnsi="Times New Roman" w:hint="eastAsia"/>
              </w:rPr>
              <w:t>VEGFR-1</w:t>
            </w:r>
            <w:r>
              <w:rPr>
                <w:rFonts w:ascii="Times New Roman" w:eastAsia="標楷體" w:hAnsi="Times New Roman" w:hint="eastAsia"/>
              </w:rPr>
              <w:t>、</w:t>
            </w:r>
            <w:r>
              <w:rPr>
                <w:rFonts w:ascii="Times New Roman" w:eastAsia="標楷體" w:hAnsi="Times New Roman" w:hint="eastAsia"/>
              </w:rPr>
              <w:t>VEGFR-2</w:t>
            </w:r>
            <w:r>
              <w:rPr>
                <w:rFonts w:ascii="Times New Roman" w:eastAsia="標楷體" w:hAnsi="Times New Roman" w:hint="eastAsia"/>
              </w:rPr>
              <w:t>、</w:t>
            </w:r>
            <w:r>
              <w:rPr>
                <w:rFonts w:ascii="Times New Roman" w:eastAsia="標楷體" w:hAnsi="Times New Roman" w:hint="eastAsia"/>
              </w:rPr>
              <w:t>VEGFR-3</w:t>
            </w:r>
            <w:r>
              <w:rPr>
                <w:rFonts w:ascii="Times New Roman" w:eastAsia="標楷體" w:hAnsi="Times New Roman" w:hint="eastAsia"/>
              </w:rPr>
              <w:t>和</w:t>
            </w:r>
            <w:r>
              <w:rPr>
                <w:rFonts w:ascii="Times New Roman" w:eastAsia="標楷體" w:hAnsi="Times New Roman" w:hint="eastAsia"/>
              </w:rPr>
              <w:t>PDGFR-</w:t>
            </w:r>
            <w:r w:rsidRPr="00C03328">
              <w:rPr>
                <w:rFonts w:ascii="Times New Roman" w:eastAsia="標楷體" w:hAnsi="Times New Roman"/>
              </w:rPr>
              <w:t>β</w:t>
            </w:r>
            <w:r>
              <w:rPr>
                <w:rFonts w:ascii="Times New Roman" w:eastAsia="標楷體" w:hAnsi="Times New Roman" w:hint="eastAsia"/>
              </w:rPr>
              <w:t>)</w:t>
            </w:r>
            <w:r>
              <w:rPr>
                <w:rFonts w:ascii="Times New Roman" w:eastAsia="標楷體" w:hAnsi="Times New Roman" w:hint="eastAsia"/>
              </w:rPr>
              <w:t>反應。目前認為這些</w:t>
            </w:r>
            <w:r w:rsidRPr="005022AB">
              <w:rPr>
                <w:rFonts w:ascii="Times New Roman" w:eastAsia="標楷體" w:hAnsi="Times New Roman"/>
              </w:rPr>
              <w:t>激酶</w:t>
            </w:r>
            <w:r>
              <w:rPr>
                <w:rFonts w:ascii="Times New Roman" w:eastAsia="標楷體" w:hAnsi="Times New Roman" w:hint="eastAsia"/>
              </w:rPr>
              <w:t>中有數種與腫瘤細胞的訊息傳遞、血管增加和細胞凋亡有關。</w:t>
            </w:r>
            <w:r>
              <w:rPr>
                <w:rFonts w:ascii="Times New Roman" w:eastAsia="標楷體" w:hAnsi="Times New Roman" w:hint="eastAsia"/>
              </w:rPr>
              <w:t>Sorafenib</w:t>
            </w:r>
            <w:r>
              <w:rPr>
                <w:rFonts w:ascii="Times New Roman" w:eastAsia="標楷體" w:hAnsi="Times New Roman" w:hint="eastAsia"/>
              </w:rPr>
              <w:t>抑制人類肝細胞癌、腎細胞癌的腫瘤生長及血管增生，在免疫功能缺損小鼠中樹種人類腫瘤異體移植的模式上也觀察到相同效果。</w:t>
            </w:r>
            <w:r>
              <w:rPr>
                <w:rFonts w:ascii="Times New Roman" w:eastAsia="標楷體" w:hAnsi="Times New Roman" w:hint="eastAsia"/>
              </w:rPr>
              <w:t>Sorafenib</w:t>
            </w:r>
            <w:r>
              <w:rPr>
                <w:rFonts w:ascii="Times New Roman" w:eastAsia="標楷體" w:hAnsi="Times New Roman" w:hint="eastAsia"/>
              </w:rPr>
              <w:t>亦抑制分化型甲狀腺癌的腫瘤生長。</w:t>
            </w:r>
          </w:p>
        </w:tc>
      </w:tr>
      <w:tr w:rsidR="00D85BCD" w:rsidRPr="008A3F92" w:rsidTr="00E1272F">
        <w:tc>
          <w:tcPr>
            <w:tcW w:w="970" w:type="dxa"/>
            <w:tcBorders>
              <w:bottom w:val="single" w:sz="4" w:space="0" w:color="auto"/>
            </w:tcBorders>
            <w:vAlign w:val="center"/>
          </w:tcPr>
          <w:p w:rsidR="00D85BCD" w:rsidRPr="00386048" w:rsidRDefault="00D85BCD" w:rsidP="00D85BCD">
            <w:pPr>
              <w:widowControl/>
              <w:jc w:val="both"/>
              <w:rPr>
                <w:rFonts w:ascii="Times New Roman" w:eastAsia="標楷體" w:hAnsi="Times New Roman"/>
              </w:rPr>
            </w:pPr>
            <w:r w:rsidRPr="00386048">
              <w:rPr>
                <w:rFonts w:ascii="Times New Roman" w:eastAsia="標楷體" w:hAnsi="Times New Roman"/>
              </w:rPr>
              <w:t>適應症</w:t>
            </w:r>
          </w:p>
        </w:tc>
        <w:tc>
          <w:tcPr>
            <w:tcW w:w="14482" w:type="dxa"/>
            <w:tcBorders>
              <w:bottom w:val="single" w:sz="4" w:space="0" w:color="auto"/>
            </w:tcBorders>
          </w:tcPr>
          <w:p w:rsidR="00D85BCD" w:rsidRPr="00AF5EF5" w:rsidRDefault="00D85BCD" w:rsidP="003555E5">
            <w:pPr>
              <w:pStyle w:val="a9"/>
              <w:widowControl/>
              <w:numPr>
                <w:ilvl w:val="0"/>
                <w:numId w:val="12"/>
              </w:numPr>
              <w:tabs>
                <w:tab w:val="left" w:pos="3255"/>
              </w:tabs>
              <w:ind w:leftChars="0"/>
              <w:rPr>
                <w:rFonts w:ascii="Times New Roman" w:eastAsia="標楷體" w:hAnsi="Times New Roman"/>
              </w:rPr>
            </w:pPr>
            <w:r w:rsidRPr="00C03328">
              <w:rPr>
                <w:rFonts w:ascii="Times New Roman" w:eastAsia="標楷體" w:hAnsi="Times New Roman"/>
              </w:rPr>
              <w:t>轉移性或無法手術切除且不適合局部治療或局部治療失敗之晚期肝細胞癌</w:t>
            </w:r>
            <w:r w:rsidRPr="00C03328">
              <w:rPr>
                <w:rFonts w:ascii="Times New Roman" w:eastAsia="標楷體" w:hAnsi="Times New Roman"/>
              </w:rPr>
              <w:t>(HCC)</w:t>
            </w:r>
            <w:r w:rsidRPr="005022AB">
              <w:rPr>
                <w:rFonts w:ascii="Times New Roman" w:eastAsia="標楷體" w:hAnsi="Times New Roman"/>
              </w:rPr>
              <w:t>。</w:t>
            </w:r>
          </w:p>
          <w:p w:rsidR="00D85BCD" w:rsidRPr="00AF5EF5" w:rsidRDefault="00D85BCD" w:rsidP="003555E5">
            <w:pPr>
              <w:pStyle w:val="a9"/>
              <w:widowControl/>
              <w:numPr>
                <w:ilvl w:val="0"/>
                <w:numId w:val="12"/>
              </w:numPr>
              <w:tabs>
                <w:tab w:val="left" w:pos="3255"/>
              </w:tabs>
              <w:ind w:leftChars="0"/>
              <w:rPr>
                <w:rFonts w:ascii="Times New Roman" w:eastAsia="標楷體" w:hAnsi="Times New Roman"/>
              </w:rPr>
            </w:pPr>
            <w:r w:rsidRPr="00C03328">
              <w:rPr>
                <w:rFonts w:ascii="Times New Roman" w:eastAsia="標楷體" w:hAnsi="Times New Roman"/>
              </w:rPr>
              <w:t>晚期腎細胞癌</w:t>
            </w:r>
            <w:r w:rsidRPr="00C03328">
              <w:rPr>
                <w:rFonts w:ascii="Times New Roman" w:eastAsia="標楷體" w:hAnsi="Times New Roman"/>
              </w:rPr>
              <w:t>(RCC)</w:t>
            </w:r>
            <w:r w:rsidRPr="00C03328">
              <w:rPr>
                <w:rFonts w:ascii="Times New Roman" w:eastAsia="標楷體" w:hAnsi="Times New Roman"/>
              </w:rPr>
              <w:t>且已接受</w:t>
            </w:r>
            <w:r w:rsidRPr="00C03328">
              <w:rPr>
                <w:rFonts w:ascii="Times New Roman" w:eastAsia="標楷體" w:hAnsi="Times New Roman"/>
              </w:rPr>
              <w:t>interferon-alpha</w:t>
            </w:r>
            <w:r w:rsidRPr="00C03328">
              <w:rPr>
                <w:rFonts w:ascii="Times New Roman" w:eastAsia="標楷體" w:hAnsi="Times New Roman"/>
              </w:rPr>
              <w:t>或</w:t>
            </w:r>
            <w:r w:rsidRPr="00C03328">
              <w:rPr>
                <w:rFonts w:ascii="Times New Roman" w:eastAsia="標楷體" w:hAnsi="Times New Roman"/>
              </w:rPr>
              <w:t>interleukin-2</w:t>
            </w:r>
            <w:r w:rsidRPr="00C03328">
              <w:rPr>
                <w:rFonts w:ascii="Times New Roman" w:eastAsia="標楷體" w:hAnsi="Times New Roman"/>
              </w:rPr>
              <w:t>治療失敗，或不適合以上兩種藥物治療之病患</w:t>
            </w:r>
            <w:r w:rsidRPr="005022AB">
              <w:rPr>
                <w:rFonts w:ascii="Times New Roman" w:eastAsia="標楷體" w:hAnsi="Times New Roman"/>
              </w:rPr>
              <w:t>。</w:t>
            </w:r>
          </w:p>
          <w:p w:rsidR="00D85BCD" w:rsidRPr="00C03328" w:rsidRDefault="00D85BCD" w:rsidP="003555E5">
            <w:pPr>
              <w:pStyle w:val="a9"/>
              <w:widowControl/>
              <w:numPr>
                <w:ilvl w:val="0"/>
                <w:numId w:val="12"/>
              </w:numPr>
              <w:tabs>
                <w:tab w:val="left" w:pos="3255"/>
              </w:tabs>
              <w:ind w:leftChars="0"/>
              <w:rPr>
                <w:rFonts w:ascii="Times New Roman" w:eastAsia="標楷體" w:hAnsi="Times New Roman"/>
              </w:rPr>
            </w:pPr>
            <w:r w:rsidRPr="00C03328">
              <w:rPr>
                <w:rFonts w:ascii="Times New Roman" w:eastAsia="標楷體" w:hAnsi="Times New Roman"/>
              </w:rPr>
              <w:lastRenderedPageBreak/>
              <w:t>放射性碘治療無效之局部晚期或轉移性的進行性</w:t>
            </w:r>
            <w:r w:rsidRPr="00C03328">
              <w:rPr>
                <w:rFonts w:ascii="Times New Roman" w:eastAsia="標楷體" w:hAnsi="Times New Roman"/>
              </w:rPr>
              <w:t>(progressive)</w:t>
            </w:r>
            <w:r w:rsidRPr="00C03328">
              <w:rPr>
                <w:rFonts w:ascii="Times New Roman" w:eastAsia="標楷體" w:hAnsi="Times New Roman"/>
              </w:rPr>
              <w:t>分化型甲狀腺癌</w:t>
            </w:r>
            <w:r w:rsidRPr="00C03328">
              <w:rPr>
                <w:rFonts w:ascii="Times New Roman" w:eastAsia="標楷體" w:hAnsi="Times New Roman"/>
              </w:rPr>
              <w:t>(DTC)</w:t>
            </w:r>
            <w:r w:rsidRPr="005022AB">
              <w:rPr>
                <w:rFonts w:ascii="Times New Roman" w:eastAsia="標楷體" w:hAnsi="Times New Roman"/>
              </w:rPr>
              <w:t>。</w:t>
            </w:r>
          </w:p>
        </w:tc>
      </w:tr>
      <w:tr w:rsidR="00D221D6" w:rsidRPr="00332900" w:rsidTr="002265C2">
        <w:tc>
          <w:tcPr>
            <w:tcW w:w="15452" w:type="dxa"/>
            <w:gridSpan w:val="2"/>
            <w:tcBorders>
              <w:top w:val="nil"/>
              <w:left w:val="nil"/>
              <w:right w:val="nil"/>
            </w:tcBorders>
          </w:tcPr>
          <w:p w:rsidR="00D221D6" w:rsidRPr="0001660E" w:rsidRDefault="0001660E" w:rsidP="003555E5">
            <w:pPr>
              <w:pStyle w:val="a9"/>
              <w:widowControl/>
              <w:numPr>
                <w:ilvl w:val="0"/>
                <w:numId w:val="6"/>
              </w:numPr>
              <w:ind w:leftChars="0"/>
              <w:rPr>
                <w:rFonts w:ascii="Times New Roman" w:eastAsia="標楷體" w:hAnsi="Times New Roman"/>
                <w:b/>
              </w:rPr>
            </w:pPr>
            <w:r w:rsidRPr="0001660E">
              <w:rPr>
                <w:rFonts w:ascii="Times New Roman" w:eastAsia="標楷體"/>
                <w:b/>
                <w:bCs/>
                <w:color w:val="000000" w:themeColor="text1"/>
                <w:kern w:val="36"/>
                <w:lang w:bidi="hi-IN"/>
              </w:rPr>
              <w:lastRenderedPageBreak/>
              <w:t>Ramucirumab</w:t>
            </w:r>
          </w:p>
        </w:tc>
      </w:tr>
      <w:tr w:rsidR="00D221D6" w:rsidRPr="00386048" w:rsidTr="002265C2">
        <w:tc>
          <w:tcPr>
            <w:tcW w:w="970" w:type="dxa"/>
            <w:vAlign w:val="center"/>
          </w:tcPr>
          <w:p w:rsidR="00D221D6" w:rsidRPr="00386048" w:rsidRDefault="00D221D6" w:rsidP="001A6264">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Pr>
          <w:p w:rsidR="00D221D6" w:rsidRPr="00023B86" w:rsidRDefault="0058462B" w:rsidP="001A6264">
            <w:pPr>
              <w:widowControl/>
              <w:rPr>
                <w:rFonts w:ascii="Times New Roman" w:eastAsia="標楷體" w:hAnsi="Times New Roman"/>
              </w:rPr>
            </w:pPr>
            <w:r w:rsidRPr="0058462B">
              <w:rPr>
                <w:rFonts w:ascii="Times New Roman" w:eastAsia="標楷體" w:hAnsi="Times New Roman"/>
              </w:rPr>
              <w:t>Ramucirumab</w:t>
            </w:r>
            <w:r>
              <w:rPr>
                <w:rFonts w:ascii="Times New Roman" w:eastAsia="標楷體" w:hAnsi="Times New Roman" w:hint="eastAsia"/>
              </w:rPr>
              <w:t>是血管內皮生長因子受體</w:t>
            </w:r>
            <w:r>
              <w:rPr>
                <w:rFonts w:ascii="Times New Roman" w:eastAsia="標楷體" w:hAnsi="Times New Roman" w:hint="eastAsia"/>
              </w:rPr>
              <w:t>2 (VEGFR 2)</w:t>
            </w:r>
            <w:r>
              <w:rPr>
                <w:rFonts w:ascii="Times New Roman" w:eastAsia="標楷體" w:hAnsi="Times New Roman" w:hint="eastAsia"/>
              </w:rPr>
              <w:t>拮抗劑，與</w:t>
            </w:r>
            <w:r>
              <w:rPr>
                <w:rFonts w:ascii="Times New Roman" w:eastAsia="標楷體" w:hAnsi="Times New Roman" w:hint="eastAsia"/>
              </w:rPr>
              <w:t>VEGFR-2</w:t>
            </w:r>
            <w:r>
              <w:rPr>
                <w:rFonts w:ascii="Times New Roman" w:eastAsia="標楷體" w:hAnsi="Times New Roman" w:hint="eastAsia"/>
              </w:rPr>
              <w:t>結合並阻斷其與</w:t>
            </w:r>
            <w:r>
              <w:rPr>
                <w:rFonts w:ascii="Times New Roman" w:eastAsia="標楷體" w:hAnsi="Times New Roman" w:hint="eastAsia"/>
              </w:rPr>
              <w:t>VEGFR</w:t>
            </w:r>
            <w:r>
              <w:rPr>
                <w:rFonts w:ascii="Times New Roman" w:eastAsia="標楷體" w:hAnsi="Times New Roman" w:hint="eastAsia"/>
              </w:rPr>
              <w:t>配體</w:t>
            </w:r>
            <w:r>
              <w:rPr>
                <w:rFonts w:ascii="Times New Roman" w:eastAsia="標楷體" w:hAnsi="Times New Roman" w:hint="eastAsia"/>
              </w:rPr>
              <w:t>(</w:t>
            </w:r>
            <w:r>
              <w:rPr>
                <w:rFonts w:ascii="Times New Roman" w:eastAsia="標楷體" w:hAnsi="Times New Roman"/>
              </w:rPr>
              <w:t>ligand</w:t>
            </w:r>
            <w:r>
              <w:rPr>
                <w:rFonts w:ascii="Times New Roman" w:eastAsia="標楷體" w:hAnsi="Times New Roman" w:hint="eastAsia"/>
              </w:rPr>
              <w:t>)</w:t>
            </w:r>
            <w:r>
              <w:rPr>
                <w:rFonts w:ascii="Times New Roman" w:eastAsia="標楷體" w:hAnsi="Times New Roman"/>
              </w:rPr>
              <w:t>-VEGF-A</w:t>
            </w:r>
            <w:r>
              <w:rPr>
                <w:rFonts w:ascii="Times New Roman" w:eastAsia="標楷體" w:hAnsi="Times New Roman" w:hint="eastAsia"/>
              </w:rPr>
              <w:t>、</w:t>
            </w:r>
            <w:r>
              <w:rPr>
                <w:rFonts w:ascii="Times New Roman" w:eastAsia="標楷體" w:hAnsi="Times New Roman"/>
              </w:rPr>
              <w:t>VEGF-</w:t>
            </w:r>
            <w:r>
              <w:rPr>
                <w:rFonts w:ascii="Times New Roman" w:eastAsia="標楷體" w:hAnsi="Times New Roman" w:hint="eastAsia"/>
              </w:rPr>
              <w:t>C</w:t>
            </w:r>
            <w:r>
              <w:rPr>
                <w:rFonts w:ascii="Times New Roman" w:eastAsia="標楷體" w:hAnsi="Times New Roman" w:hint="eastAsia"/>
              </w:rPr>
              <w:t>及</w:t>
            </w:r>
            <w:r>
              <w:rPr>
                <w:rFonts w:ascii="Times New Roman" w:eastAsia="標楷體" w:hAnsi="Times New Roman"/>
              </w:rPr>
              <w:t>VEGF-</w:t>
            </w:r>
            <w:r>
              <w:rPr>
                <w:rFonts w:ascii="Times New Roman" w:eastAsia="標楷體" w:hAnsi="Times New Roman" w:hint="eastAsia"/>
              </w:rPr>
              <w:t>D</w:t>
            </w:r>
            <w:r>
              <w:rPr>
                <w:rFonts w:ascii="Times New Roman" w:eastAsia="標楷體" w:hAnsi="Times New Roman" w:hint="eastAsia"/>
              </w:rPr>
              <w:t>的結合。因此，</w:t>
            </w:r>
            <w:r>
              <w:rPr>
                <w:rFonts w:ascii="Times New Roman" w:eastAsia="標楷體" w:hAnsi="Times New Roman"/>
              </w:rPr>
              <w:t>r</w:t>
            </w:r>
            <w:r w:rsidRPr="0058462B">
              <w:rPr>
                <w:rFonts w:ascii="Times New Roman" w:eastAsia="標楷體" w:hAnsi="Times New Roman"/>
              </w:rPr>
              <w:t>amucirumab</w:t>
            </w:r>
            <w:r>
              <w:rPr>
                <w:rFonts w:ascii="Times New Roman" w:eastAsia="標楷體" w:hAnsi="Times New Roman" w:hint="eastAsia"/>
              </w:rPr>
              <w:t>能抑制配體刺激</w:t>
            </w:r>
            <w:r>
              <w:rPr>
                <w:rFonts w:ascii="Times New Roman" w:eastAsia="標楷體" w:hAnsi="Times New Roman" w:hint="eastAsia"/>
              </w:rPr>
              <w:t>VEGFR 2</w:t>
            </w:r>
            <w:r>
              <w:rPr>
                <w:rFonts w:ascii="Times New Roman" w:eastAsia="標楷體" w:hAnsi="Times New Roman" w:hint="eastAsia"/>
              </w:rPr>
              <w:t>活化，進而抑制配體誘發的增生活動及人類內皮細胞的移動</w:t>
            </w:r>
            <w:r w:rsidR="00D221D6" w:rsidRPr="00D72185">
              <w:rPr>
                <w:rFonts w:ascii="Times New Roman" w:eastAsia="標楷體" w:hAnsi="Times New Roman"/>
              </w:rPr>
              <w:t>。</w:t>
            </w:r>
            <w:r w:rsidRPr="0058462B">
              <w:rPr>
                <w:rFonts w:ascii="Times New Roman" w:eastAsia="標楷體" w:hAnsi="Times New Roman"/>
              </w:rPr>
              <w:t>Ramucirumab</w:t>
            </w:r>
            <w:r>
              <w:rPr>
                <w:rFonts w:ascii="Times New Roman" w:eastAsia="標楷體" w:hAnsi="Times New Roman" w:hint="eastAsia"/>
              </w:rPr>
              <w:t>在體內動物試驗中顯現抑制血管新生作用</w:t>
            </w:r>
            <w:r w:rsidRPr="00D72185">
              <w:rPr>
                <w:rFonts w:ascii="Times New Roman" w:eastAsia="標楷體" w:hAnsi="Times New Roman"/>
              </w:rPr>
              <w:t>。</w:t>
            </w:r>
          </w:p>
        </w:tc>
      </w:tr>
      <w:tr w:rsidR="00D221D6" w:rsidRPr="00386048" w:rsidTr="002265C2">
        <w:tc>
          <w:tcPr>
            <w:tcW w:w="970" w:type="dxa"/>
            <w:vAlign w:val="center"/>
          </w:tcPr>
          <w:p w:rsidR="00D221D6" w:rsidRPr="00386048" w:rsidRDefault="00D221D6" w:rsidP="001A6264">
            <w:pPr>
              <w:widowControl/>
              <w:jc w:val="both"/>
              <w:rPr>
                <w:rFonts w:ascii="Times New Roman" w:eastAsia="標楷體" w:hAnsi="Times New Roman"/>
              </w:rPr>
            </w:pPr>
            <w:r w:rsidRPr="00386048">
              <w:rPr>
                <w:rFonts w:ascii="Times New Roman" w:eastAsia="標楷體" w:hAnsi="Times New Roman"/>
              </w:rPr>
              <w:t>適應症</w:t>
            </w:r>
          </w:p>
        </w:tc>
        <w:tc>
          <w:tcPr>
            <w:tcW w:w="14482" w:type="dxa"/>
          </w:tcPr>
          <w:p w:rsidR="0058462B" w:rsidRDefault="0058462B" w:rsidP="003555E5">
            <w:pPr>
              <w:pStyle w:val="a9"/>
              <w:widowControl/>
              <w:numPr>
                <w:ilvl w:val="0"/>
                <w:numId w:val="5"/>
              </w:numPr>
              <w:ind w:leftChars="0"/>
              <w:rPr>
                <w:rFonts w:ascii="Times New Roman" w:eastAsia="標楷體" w:hAnsi="Times New Roman"/>
              </w:rPr>
            </w:pPr>
            <w:r>
              <w:rPr>
                <w:rFonts w:ascii="Times New Roman" w:eastAsia="標楷體" w:hAnsi="Times New Roman" w:hint="eastAsia"/>
              </w:rPr>
              <w:t>胃癌</w:t>
            </w:r>
            <w:r w:rsidR="000A7AC6">
              <w:rPr>
                <w:rFonts w:ascii="Times New Roman" w:eastAsia="標楷體" w:hAnsi="Times New Roman" w:hint="eastAsia"/>
              </w:rPr>
              <w:t>：</w:t>
            </w:r>
          </w:p>
          <w:p w:rsidR="00D221D6" w:rsidRPr="0058462B" w:rsidRDefault="0058462B" w:rsidP="003555E5">
            <w:pPr>
              <w:pStyle w:val="a9"/>
              <w:widowControl/>
              <w:numPr>
                <w:ilvl w:val="0"/>
                <w:numId w:val="8"/>
              </w:numPr>
              <w:ind w:leftChars="0"/>
              <w:rPr>
                <w:rFonts w:ascii="Times New Roman" w:eastAsia="標楷體" w:hAnsi="Times New Roman"/>
              </w:rPr>
            </w:pPr>
            <w:r w:rsidRPr="0058462B">
              <w:rPr>
                <w:rFonts w:ascii="Times New Roman" w:eastAsia="標楷體" w:hAnsi="Times New Roman"/>
              </w:rPr>
              <w:t>Ramucirumab</w:t>
            </w:r>
            <w:r w:rsidRPr="0058462B">
              <w:rPr>
                <w:rFonts w:ascii="Times New Roman" w:eastAsia="標楷體" w:hAnsi="Times New Roman"/>
              </w:rPr>
              <w:t>併用</w:t>
            </w:r>
            <w:r w:rsidRPr="0058462B">
              <w:rPr>
                <w:rFonts w:ascii="Times New Roman" w:eastAsia="標楷體" w:hAnsi="Times New Roman"/>
              </w:rPr>
              <w:t>paclitaxel</w:t>
            </w:r>
            <w:r w:rsidRPr="0058462B">
              <w:rPr>
                <w:rFonts w:ascii="Times New Roman" w:eastAsia="標楷體" w:hAnsi="Times New Roman"/>
              </w:rPr>
              <w:t>適用於治療正接受或接受過</w:t>
            </w:r>
            <w:r w:rsidRPr="0058462B">
              <w:rPr>
                <w:rFonts w:ascii="Times New Roman" w:eastAsia="標楷體" w:hAnsi="Times New Roman"/>
              </w:rPr>
              <w:t>fluoropyrimidine</w:t>
            </w:r>
            <w:r w:rsidRPr="0058462B">
              <w:rPr>
                <w:rFonts w:ascii="Times New Roman" w:eastAsia="標楷體" w:hAnsi="Times New Roman"/>
              </w:rPr>
              <w:t>和</w:t>
            </w:r>
            <w:r w:rsidRPr="0058462B">
              <w:rPr>
                <w:rFonts w:ascii="Times New Roman" w:eastAsia="標楷體" w:hAnsi="Times New Roman"/>
              </w:rPr>
              <w:t>platinum</w:t>
            </w:r>
            <w:r w:rsidRPr="0058462B">
              <w:rPr>
                <w:rFonts w:ascii="Times New Roman" w:eastAsia="標楷體" w:hAnsi="Times New Roman"/>
              </w:rPr>
              <w:t>化學治療仍疾病惡化之晚期或轉移性胃腺癌</w:t>
            </w:r>
            <w:r w:rsidRPr="0058462B">
              <w:rPr>
                <w:rFonts w:ascii="Times New Roman" w:eastAsia="標楷體" w:hAnsi="Times New Roman"/>
              </w:rPr>
              <w:t>(</w:t>
            </w:r>
            <w:r w:rsidRPr="0058462B">
              <w:rPr>
                <w:rFonts w:ascii="Times New Roman" w:eastAsia="標楷體" w:hAnsi="Times New Roman"/>
              </w:rPr>
              <w:t>或胃食道接合處腺癌</w:t>
            </w:r>
            <w:r w:rsidRPr="0058462B">
              <w:rPr>
                <w:rFonts w:ascii="Times New Roman" w:eastAsia="標楷體" w:hAnsi="Times New Roman"/>
              </w:rPr>
              <w:t>)</w:t>
            </w:r>
            <w:r w:rsidRPr="0058462B">
              <w:rPr>
                <w:rFonts w:ascii="Times New Roman" w:eastAsia="標楷體" w:hAnsi="Times New Roman"/>
              </w:rPr>
              <w:t>。</w:t>
            </w:r>
          </w:p>
          <w:p w:rsidR="0058462B" w:rsidRDefault="0058462B" w:rsidP="003555E5">
            <w:pPr>
              <w:pStyle w:val="a9"/>
              <w:widowControl/>
              <w:numPr>
                <w:ilvl w:val="0"/>
                <w:numId w:val="8"/>
              </w:numPr>
              <w:ind w:leftChars="0"/>
              <w:rPr>
                <w:rFonts w:ascii="Times New Roman" w:eastAsia="標楷體" w:hAnsi="Times New Roman"/>
              </w:rPr>
            </w:pPr>
            <w:r w:rsidRPr="0058462B">
              <w:rPr>
                <w:rFonts w:ascii="Times New Roman" w:eastAsia="標楷體" w:hAnsi="Times New Roman"/>
              </w:rPr>
              <w:t>Ramucirumab</w:t>
            </w:r>
            <w:r w:rsidRPr="0058462B">
              <w:rPr>
                <w:rFonts w:ascii="Times New Roman" w:eastAsia="標楷體" w:hAnsi="Times New Roman"/>
              </w:rPr>
              <w:t>單一藥物適用於治療正接受或接受過</w:t>
            </w:r>
            <w:r w:rsidRPr="0058462B">
              <w:rPr>
                <w:rFonts w:ascii="Times New Roman" w:eastAsia="標楷體" w:hAnsi="Times New Roman"/>
              </w:rPr>
              <w:t>fluoropyrimidine</w:t>
            </w:r>
            <w:r w:rsidRPr="0058462B">
              <w:rPr>
                <w:rFonts w:ascii="Times New Roman" w:eastAsia="標楷體" w:hAnsi="Times New Roman"/>
              </w:rPr>
              <w:t>或</w:t>
            </w:r>
            <w:r w:rsidRPr="0058462B">
              <w:rPr>
                <w:rFonts w:ascii="Times New Roman" w:eastAsia="標楷體" w:hAnsi="Times New Roman"/>
              </w:rPr>
              <w:t>platinum</w:t>
            </w:r>
            <w:r w:rsidRPr="0058462B">
              <w:rPr>
                <w:rFonts w:ascii="Times New Roman" w:eastAsia="標楷體" w:hAnsi="Times New Roman"/>
              </w:rPr>
              <w:t>化學治療仍疾病惡化，且不適合接受含</w:t>
            </w:r>
            <w:r w:rsidRPr="0058462B">
              <w:rPr>
                <w:rFonts w:ascii="Times New Roman" w:eastAsia="標楷體" w:hAnsi="Times New Roman"/>
              </w:rPr>
              <w:t>paclitaxel</w:t>
            </w:r>
            <w:r w:rsidRPr="0058462B">
              <w:rPr>
                <w:rFonts w:ascii="Times New Roman" w:eastAsia="標楷體" w:hAnsi="Times New Roman"/>
              </w:rPr>
              <w:t>藥物治療之晚期或轉移性胃腺癌</w:t>
            </w:r>
            <w:r w:rsidRPr="0058462B">
              <w:rPr>
                <w:rFonts w:ascii="Times New Roman" w:eastAsia="標楷體" w:hAnsi="Times New Roman"/>
              </w:rPr>
              <w:t>(</w:t>
            </w:r>
            <w:r w:rsidRPr="0058462B">
              <w:rPr>
                <w:rFonts w:ascii="Times New Roman" w:eastAsia="標楷體" w:hAnsi="Times New Roman"/>
              </w:rPr>
              <w:t>或胃食道接合處腺癌</w:t>
            </w:r>
            <w:r w:rsidRPr="0058462B">
              <w:rPr>
                <w:rFonts w:ascii="Times New Roman" w:eastAsia="標楷體" w:hAnsi="Times New Roman"/>
              </w:rPr>
              <w:t>)</w:t>
            </w:r>
            <w:r w:rsidRPr="0058462B">
              <w:rPr>
                <w:rFonts w:ascii="Times New Roman" w:eastAsia="標楷體" w:hAnsi="Times New Roman"/>
              </w:rPr>
              <w:t>。</w:t>
            </w:r>
          </w:p>
          <w:p w:rsidR="0058462B" w:rsidRDefault="0058462B" w:rsidP="003555E5">
            <w:pPr>
              <w:pStyle w:val="a9"/>
              <w:widowControl/>
              <w:numPr>
                <w:ilvl w:val="0"/>
                <w:numId w:val="5"/>
              </w:numPr>
              <w:ind w:leftChars="0"/>
              <w:rPr>
                <w:rFonts w:ascii="Times New Roman" w:eastAsia="標楷體" w:hAnsi="Times New Roman"/>
              </w:rPr>
            </w:pPr>
            <w:r w:rsidRPr="0058462B">
              <w:rPr>
                <w:rFonts w:ascii="Times New Roman" w:eastAsia="標楷體" w:hAnsi="Times New Roman"/>
              </w:rPr>
              <w:t>非小細胞肺癌</w:t>
            </w:r>
            <w:r w:rsidRPr="0058462B">
              <w:rPr>
                <w:rFonts w:ascii="Times New Roman" w:eastAsia="標楷體" w:hAnsi="Times New Roman"/>
              </w:rPr>
              <w:t xml:space="preserve"> (NSCLC)</w:t>
            </w:r>
            <w:r w:rsidR="000A7AC6">
              <w:rPr>
                <w:rFonts w:ascii="Times New Roman" w:eastAsia="標楷體" w:hAnsi="Times New Roman" w:hint="eastAsia"/>
              </w:rPr>
              <w:t>：</w:t>
            </w:r>
          </w:p>
          <w:p w:rsidR="0058462B" w:rsidRPr="0058462B" w:rsidRDefault="0058462B" w:rsidP="003555E5">
            <w:pPr>
              <w:pStyle w:val="a9"/>
              <w:widowControl/>
              <w:numPr>
                <w:ilvl w:val="1"/>
                <w:numId w:val="5"/>
              </w:numPr>
              <w:ind w:leftChars="0"/>
              <w:rPr>
                <w:rFonts w:ascii="Times New Roman" w:eastAsia="標楷體" w:hAnsi="Times New Roman"/>
              </w:rPr>
            </w:pPr>
            <w:r w:rsidRPr="0058462B">
              <w:rPr>
                <w:rFonts w:ascii="Times New Roman" w:eastAsia="標楷體" w:hAnsi="Times New Roman"/>
              </w:rPr>
              <w:t>Ramucirumab</w:t>
            </w:r>
            <w:r w:rsidRPr="0058462B">
              <w:rPr>
                <w:rFonts w:ascii="Times New Roman" w:eastAsia="標楷體" w:hAnsi="Times New Roman"/>
              </w:rPr>
              <w:t>併用</w:t>
            </w:r>
            <w:r w:rsidRPr="0058462B">
              <w:rPr>
                <w:rFonts w:ascii="Times New Roman" w:eastAsia="標楷體" w:hAnsi="Times New Roman"/>
              </w:rPr>
              <w:t>erlotinib</w:t>
            </w:r>
            <w:r w:rsidRPr="0058462B">
              <w:rPr>
                <w:rFonts w:ascii="Times New Roman" w:eastAsia="標楷體" w:hAnsi="Times New Roman"/>
              </w:rPr>
              <w:t>適用於第一線治療具有表皮生長因子受體</w:t>
            </w:r>
            <w:r w:rsidR="00222CD7">
              <w:rPr>
                <w:rFonts w:ascii="Times New Roman" w:eastAsia="標楷體" w:hAnsi="Times New Roman"/>
              </w:rPr>
              <w:t>(EGFR)</w:t>
            </w:r>
            <w:r w:rsidRPr="0058462B">
              <w:rPr>
                <w:rFonts w:ascii="Times New Roman" w:eastAsia="標楷體" w:hAnsi="Times New Roman"/>
              </w:rPr>
              <w:t>突變之轉移性非小細胞肺癌。</w:t>
            </w:r>
          </w:p>
          <w:p w:rsidR="0058462B" w:rsidRDefault="0058462B" w:rsidP="003555E5">
            <w:pPr>
              <w:pStyle w:val="a9"/>
              <w:widowControl/>
              <w:numPr>
                <w:ilvl w:val="1"/>
                <w:numId w:val="5"/>
              </w:numPr>
              <w:ind w:leftChars="0"/>
              <w:rPr>
                <w:rFonts w:ascii="Times New Roman" w:eastAsia="標楷體" w:hAnsi="Times New Roman"/>
              </w:rPr>
            </w:pPr>
            <w:r w:rsidRPr="0058462B">
              <w:rPr>
                <w:rFonts w:ascii="Times New Roman" w:eastAsia="標楷體" w:hAnsi="Times New Roman"/>
              </w:rPr>
              <w:t>Ramucirumab</w:t>
            </w:r>
            <w:r w:rsidRPr="0058462B">
              <w:rPr>
                <w:rFonts w:ascii="Times New Roman" w:eastAsia="標楷體" w:hAnsi="Times New Roman"/>
              </w:rPr>
              <w:t>併用</w:t>
            </w:r>
            <w:r w:rsidRPr="0058462B">
              <w:rPr>
                <w:rFonts w:ascii="Times New Roman" w:eastAsia="標楷體" w:hAnsi="Times New Roman"/>
              </w:rPr>
              <w:t>docetaxel</w:t>
            </w:r>
            <w:r w:rsidRPr="0058462B">
              <w:rPr>
                <w:rFonts w:ascii="Times New Roman" w:eastAsia="標楷體" w:hAnsi="Times New Roman"/>
              </w:rPr>
              <w:t>適用於治療正接受或接受過含</w:t>
            </w:r>
            <w:r w:rsidRPr="0058462B">
              <w:rPr>
                <w:rFonts w:ascii="Times New Roman" w:eastAsia="標楷體" w:hAnsi="Times New Roman"/>
              </w:rPr>
              <w:t>platinum</w:t>
            </w:r>
            <w:r w:rsidRPr="0058462B">
              <w:rPr>
                <w:rFonts w:ascii="Times New Roman" w:eastAsia="標楷體" w:hAnsi="Times New Roman"/>
              </w:rPr>
              <w:t>化學治療仍疾病惡化之局部晚期或轉移性非小細胞肺癌。</w:t>
            </w:r>
          </w:p>
          <w:p w:rsidR="00D221D6" w:rsidRDefault="0058462B" w:rsidP="003555E5">
            <w:pPr>
              <w:pStyle w:val="a9"/>
              <w:widowControl/>
              <w:numPr>
                <w:ilvl w:val="0"/>
                <w:numId w:val="5"/>
              </w:numPr>
              <w:ind w:leftChars="0"/>
              <w:rPr>
                <w:rFonts w:ascii="Times New Roman" w:eastAsia="標楷體" w:hAnsi="Times New Roman"/>
              </w:rPr>
            </w:pPr>
            <w:r w:rsidRPr="0058462B">
              <w:rPr>
                <w:rFonts w:ascii="Times New Roman" w:eastAsia="標楷體" w:hAnsi="Times New Roman"/>
              </w:rPr>
              <w:t>大腸直腸癌</w:t>
            </w:r>
            <w:r w:rsidR="000A7AC6">
              <w:rPr>
                <w:rFonts w:ascii="Times New Roman" w:eastAsia="標楷體" w:hAnsi="Times New Roman" w:hint="eastAsia"/>
              </w:rPr>
              <w:t>：</w:t>
            </w:r>
            <w:r w:rsidRPr="0058462B">
              <w:rPr>
                <w:rFonts w:ascii="Times New Roman" w:eastAsia="標楷體" w:hAnsi="Times New Roman"/>
              </w:rPr>
              <w:t>Ramucirumab</w:t>
            </w:r>
            <w:r w:rsidRPr="0058462B">
              <w:rPr>
                <w:rFonts w:ascii="Times New Roman" w:eastAsia="標楷體" w:hAnsi="Times New Roman"/>
              </w:rPr>
              <w:t>併用</w:t>
            </w:r>
            <w:r w:rsidRPr="0058462B">
              <w:rPr>
                <w:rFonts w:ascii="Times New Roman" w:eastAsia="標楷體" w:hAnsi="Times New Roman"/>
              </w:rPr>
              <w:t>FOLFIRI (irinotecan</w:t>
            </w:r>
            <w:r w:rsidRPr="0058462B">
              <w:rPr>
                <w:rFonts w:ascii="Times New Roman" w:eastAsia="標楷體" w:hAnsi="Times New Roman"/>
              </w:rPr>
              <w:t>、葉酸及</w:t>
            </w:r>
            <w:r w:rsidRPr="0058462B">
              <w:rPr>
                <w:rFonts w:ascii="Times New Roman" w:eastAsia="標楷體" w:hAnsi="Times New Roman"/>
              </w:rPr>
              <w:t>5-fluorouracil)</w:t>
            </w:r>
            <w:r w:rsidRPr="0058462B">
              <w:rPr>
                <w:rFonts w:ascii="Times New Roman" w:eastAsia="標楷體" w:hAnsi="Times New Roman"/>
              </w:rPr>
              <w:t>適用於治療正接受或接受過</w:t>
            </w:r>
            <w:r w:rsidRPr="0058462B">
              <w:rPr>
                <w:rFonts w:ascii="Times New Roman" w:eastAsia="標楷體" w:hAnsi="Times New Roman"/>
              </w:rPr>
              <w:t>bevacizumab</w:t>
            </w:r>
            <w:r w:rsidRPr="0058462B">
              <w:rPr>
                <w:rFonts w:ascii="Times New Roman" w:eastAsia="標楷體" w:hAnsi="Times New Roman"/>
              </w:rPr>
              <w:t>、</w:t>
            </w:r>
            <w:r w:rsidRPr="0058462B">
              <w:rPr>
                <w:rFonts w:ascii="Times New Roman" w:eastAsia="標楷體" w:hAnsi="Times New Roman"/>
              </w:rPr>
              <w:t>oxaliplatin</w:t>
            </w:r>
            <w:r w:rsidRPr="0058462B">
              <w:rPr>
                <w:rFonts w:ascii="Times New Roman" w:eastAsia="標楷體" w:hAnsi="Times New Roman"/>
              </w:rPr>
              <w:t>及</w:t>
            </w:r>
            <w:r w:rsidRPr="0058462B">
              <w:rPr>
                <w:rFonts w:ascii="Times New Roman" w:eastAsia="標楷體" w:hAnsi="Times New Roman"/>
              </w:rPr>
              <w:t>fluoropyrimidine</w:t>
            </w:r>
            <w:r w:rsidRPr="0058462B">
              <w:rPr>
                <w:rFonts w:ascii="Times New Roman" w:eastAsia="標楷體" w:hAnsi="Times New Roman"/>
              </w:rPr>
              <w:t>治療仍疾病惡化之轉移性大腸直腸癌</w:t>
            </w:r>
            <w:r w:rsidRPr="0058462B">
              <w:rPr>
                <w:rFonts w:ascii="Times New Roman" w:eastAsia="標楷體" w:hAnsi="Times New Roman"/>
              </w:rPr>
              <w:t>(mCRC)</w:t>
            </w:r>
            <w:r w:rsidR="00D221D6" w:rsidRPr="003E78BC">
              <w:rPr>
                <w:rFonts w:ascii="Times New Roman" w:eastAsia="標楷體" w:hAnsi="Times New Roman" w:hint="eastAsia"/>
              </w:rPr>
              <w:t>。</w:t>
            </w:r>
          </w:p>
          <w:p w:rsidR="00D221D6" w:rsidRPr="0058462B" w:rsidRDefault="0058462B" w:rsidP="003555E5">
            <w:pPr>
              <w:pStyle w:val="a9"/>
              <w:widowControl/>
              <w:numPr>
                <w:ilvl w:val="0"/>
                <w:numId w:val="5"/>
              </w:numPr>
              <w:ind w:leftChars="0"/>
              <w:rPr>
                <w:rFonts w:ascii="Times New Roman" w:eastAsia="標楷體" w:hAnsi="Times New Roman"/>
              </w:rPr>
            </w:pPr>
            <w:r w:rsidRPr="0058462B">
              <w:rPr>
                <w:rFonts w:ascii="Times New Roman" w:eastAsia="標楷體" w:hAnsi="Times New Roman"/>
              </w:rPr>
              <w:t>肝細胞癌</w:t>
            </w:r>
            <w:r w:rsidRPr="0058462B">
              <w:rPr>
                <w:rFonts w:ascii="Times New Roman" w:eastAsia="標楷體" w:hAnsi="Times New Roman"/>
              </w:rPr>
              <w:t>(HCC)</w:t>
            </w:r>
            <w:r w:rsidR="000A7AC6">
              <w:rPr>
                <w:rFonts w:ascii="Times New Roman" w:eastAsia="標楷體" w:hAnsi="Times New Roman" w:hint="eastAsia"/>
              </w:rPr>
              <w:t>：</w:t>
            </w:r>
            <w:r w:rsidRPr="0058462B">
              <w:rPr>
                <w:rFonts w:ascii="Times New Roman" w:eastAsia="標楷體" w:hAnsi="Times New Roman"/>
              </w:rPr>
              <w:t>Ramucirumab</w:t>
            </w:r>
            <w:r w:rsidRPr="0058462B">
              <w:rPr>
                <w:rFonts w:ascii="Times New Roman" w:eastAsia="標楷體" w:hAnsi="Times New Roman"/>
              </w:rPr>
              <w:t>單一療法適用於接受過</w:t>
            </w:r>
            <w:r w:rsidRPr="0058462B">
              <w:rPr>
                <w:rFonts w:ascii="Times New Roman" w:eastAsia="標楷體" w:hAnsi="Times New Roman"/>
              </w:rPr>
              <w:t>sorafenib</w:t>
            </w:r>
            <w:r w:rsidRPr="0058462B">
              <w:rPr>
                <w:rFonts w:ascii="Times New Roman" w:eastAsia="標楷體" w:hAnsi="Times New Roman"/>
              </w:rPr>
              <w:t>治療且</w:t>
            </w:r>
            <w:r w:rsidRPr="0058462B">
              <w:rPr>
                <w:rFonts w:ascii="Times New Roman" w:eastAsia="標楷體" w:hAnsi="Times New Roman"/>
              </w:rPr>
              <w:t>alpha-fetoprotein(AFP) ≥400 ng/mL</w:t>
            </w:r>
            <w:r w:rsidRPr="0058462B">
              <w:rPr>
                <w:rFonts w:ascii="Times New Roman" w:eastAsia="標楷體" w:hAnsi="Times New Roman"/>
              </w:rPr>
              <w:t>之肝細胞癌病人。</w:t>
            </w:r>
          </w:p>
        </w:tc>
      </w:tr>
      <w:tr w:rsidR="00DF2AEC" w:rsidRPr="0001660E" w:rsidTr="00E1272F">
        <w:tc>
          <w:tcPr>
            <w:tcW w:w="15452" w:type="dxa"/>
            <w:gridSpan w:val="2"/>
            <w:tcBorders>
              <w:left w:val="nil"/>
              <w:right w:val="nil"/>
            </w:tcBorders>
          </w:tcPr>
          <w:p w:rsidR="00DF2AEC" w:rsidRPr="0001660E" w:rsidRDefault="00DF2AEC" w:rsidP="003555E5">
            <w:pPr>
              <w:pStyle w:val="a9"/>
              <w:widowControl/>
              <w:numPr>
                <w:ilvl w:val="0"/>
                <w:numId w:val="6"/>
              </w:numPr>
              <w:ind w:leftChars="0"/>
              <w:rPr>
                <w:rFonts w:ascii="Times New Roman" w:eastAsia="標楷體" w:hAnsi="Times New Roman"/>
                <w:b/>
              </w:rPr>
            </w:pPr>
            <w:r w:rsidRPr="0001660E">
              <w:rPr>
                <w:rFonts w:ascii="Times New Roman" w:eastAsia="標楷體"/>
                <w:b/>
                <w:bCs/>
                <w:color w:val="000000" w:themeColor="text1"/>
                <w:kern w:val="36"/>
                <w:lang w:bidi="hi-IN"/>
              </w:rPr>
              <w:t>Regorafenib</w:t>
            </w:r>
          </w:p>
        </w:tc>
      </w:tr>
      <w:tr w:rsidR="00DF2AEC" w:rsidRPr="00386048" w:rsidTr="00E1272F">
        <w:tc>
          <w:tcPr>
            <w:tcW w:w="970" w:type="dxa"/>
            <w:vAlign w:val="center"/>
          </w:tcPr>
          <w:p w:rsidR="00DF2AEC" w:rsidRPr="00386048" w:rsidRDefault="00DF2AEC" w:rsidP="00E1272F">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Pr>
          <w:p w:rsidR="00DF2AEC" w:rsidRPr="00386048" w:rsidRDefault="00DF2AEC" w:rsidP="00E1272F">
            <w:pPr>
              <w:widowControl/>
              <w:rPr>
                <w:rFonts w:ascii="Times New Roman" w:eastAsia="標楷體" w:hAnsi="Times New Roman"/>
              </w:rPr>
            </w:pPr>
            <w:r>
              <w:rPr>
                <w:rFonts w:ascii="Times New Roman" w:eastAsia="標楷體" w:hAnsi="Times New Roman"/>
              </w:rPr>
              <w:t>Re</w:t>
            </w:r>
            <w:r w:rsidRPr="001A6264">
              <w:rPr>
                <w:rFonts w:ascii="Times New Roman" w:eastAsia="標楷體" w:hAnsi="Times New Roman"/>
              </w:rPr>
              <w:t>gorafenib</w:t>
            </w:r>
            <w:r w:rsidRPr="001A6264">
              <w:rPr>
                <w:rFonts w:ascii="Times New Roman" w:eastAsia="標楷體" w:hAnsi="Times New Roman"/>
              </w:rPr>
              <w:t>是多種膜上激酶及細胞內激酶的小分子抑制劑，這些激酶參與了正常的細胞功能，也涉及許多病理進程，包括腫瘤發生、腫瘤血管新生、轉移以及腫瘤免疫。在生化或細胞的活體外分析中，當</w:t>
            </w:r>
            <w:r>
              <w:rPr>
                <w:rFonts w:ascii="Times New Roman" w:eastAsia="標楷體" w:hAnsi="Times New Roman"/>
              </w:rPr>
              <w:t>regorafenib</w:t>
            </w:r>
            <w:r w:rsidRPr="001A6264">
              <w:rPr>
                <w:rFonts w:ascii="Times New Roman" w:eastAsia="標楷體" w:hAnsi="Times New Roman"/>
              </w:rPr>
              <w:t>達到臨床濃度時，</w:t>
            </w:r>
            <w:r w:rsidRPr="001A6264">
              <w:rPr>
                <w:rFonts w:ascii="Times New Roman" w:eastAsia="標楷體" w:hAnsi="Times New Roman"/>
              </w:rPr>
              <w:t>regorafenib</w:t>
            </w:r>
            <w:r w:rsidRPr="001A6264">
              <w:rPr>
                <w:rFonts w:ascii="Times New Roman" w:eastAsia="標楷體" w:hAnsi="Times New Roman"/>
              </w:rPr>
              <w:t>或其在人體中的主要活性代謝物</w:t>
            </w:r>
            <w:r w:rsidRPr="001A6264">
              <w:rPr>
                <w:rFonts w:ascii="Times New Roman" w:eastAsia="標楷體" w:hAnsi="Times New Roman"/>
              </w:rPr>
              <w:t>M-2</w:t>
            </w:r>
            <w:r w:rsidRPr="001A6264">
              <w:rPr>
                <w:rFonts w:ascii="Times New Roman" w:eastAsia="標楷體" w:hAnsi="Times New Roman"/>
              </w:rPr>
              <w:t>與</w:t>
            </w:r>
            <w:r w:rsidRPr="001A6264">
              <w:rPr>
                <w:rFonts w:ascii="Times New Roman" w:eastAsia="標楷體" w:hAnsi="Times New Roman"/>
              </w:rPr>
              <w:t>M-5</w:t>
            </w:r>
            <w:r w:rsidRPr="001A6264">
              <w:rPr>
                <w:rFonts w:ascii="Times New Roman" w:eastAsia="標楷體" w:hAnsi="Times New Roman"/>
              </w:rPr>
              <w:t>抑制了</w:t>
            </w:r>
            <w:r w:rsidRPr="001A6264">
              <w:rPr>
                <w:rFonts w:ascii="Times New Roman" w:eastAsia="標楷體" w:hAnsi="Times New Roman"/>
              </w:rPr>
              <w:t>RET</w:t>
            </w:r>
            <w:r w:rsidRPr="001A6264">
              <w:rPr>
                <w:rFonts w:ascii="Times New Roman" w:eastAsia="標楷體" w:hAnsi="Times New Roman"/>
              </w:rPr>
              <w:t>、</w:t>
            </w:r>
            <w:r w:rsidRPr="001A6264">
              <w:rPr>
                <w:rFonts w:ascii="Times New Roman" w:eastAsia="標楷體" w:hAnsi="Times New Roman"/>
              </w:rPr>
              <w:t>VEGFR1</w:t>
            </w:r>
            <w:r w:rsidRPr="001A6264">
              <w:rPr>
                <w:rFonts w:ascii="Times New Roman" w:eastAsia="標楷體" w:hAnsi="Times New Roman"/>
              </w:rPr>
              <w:t>、</w:t>
            </w:r>
            <w:r>
              <w:rPr>
                <w:rFonts w:ascii="Times New Roman" w:eastAsia="標楷體" w:hAnsi="Times New Roman"/>
              </w:rPr>
              <w:t>VEGFR2</w:t>
            </w:r>
            <w:r w:rsidRPr="001A6264">
              <w:rPr>
                <w:rFonts w:ascii="Times New Roman" w:eastAsia="標楷體" w:hAnsi="Times New Roman"/>
              </w:rPr>
              <w:t>、</w:t>
            </w:r>
            <w:r w:rsidRPr="001A6264">
              <w:rPr>
                <w:rFonts w:ascii="Times New Roman" w:eastAsia="標楷體" w:hAnsi="Times New Roman"/>
              </w:rPr>
              <w:t>VEGFR3</w:t>
            </w:r>
            <w:r w:rsidRPr="001A6264">
              <w:rPr>
                <w:rFonts w:ascii="Times New Roman" w:eastAsia="標楷體" w:hAnsi="Times New Roman"/>
              </w:rPr>
              <w:t>、</w:t>
            </w:r>
            <w:r w:rsidRPr="001A6264">
              <w:rPr>
                <w:rFonts w:ascii="Times New Roman" w:eastAsia="標楷體" w:hAnsi="Times New Roman"/>
              </w:rPr>
              <w:t>KIT</w:t>
            </w:r>
            <w:r w:rsidRPr="001A6264">
              <w:rPr>
                <w:rFonts w:ascii="Times New Roman" w:eastAsia="標楷體" w:hAnsi="Times New Roman"/>
              </w:rPr>
              <w:t>、</w:t>
            </w:r>
            <w:r w:rsidRPr="001A6264">
              <w:rPr>
                <w:rFonts w:ascii="Times New Roman" w:eastAsia="標楷體" w:hAnsi="Times New Roman"/>
              </w:rPr>
              <w:t>PDGFR-alpha</w:t>
            </w:r>
            <w:r w:rsidRPr="001A6264">
              <w:rPr>
                <w:rFonts w:ascii="Times New Roman" w:eastAsia="標楷體" w:hAnsi="Times New Roman"/>
              </w:rPr>
              <w:t>、</w:t>
            </w:r>
            <w:r w:rsidRPr="001A6264">
              <w:rPr>
                <w:rFonts w:ascii="Times New Roman" w:eastAsia="標楷體" w:hAnsi="Times New Roman"/>
              </w:rPr>
              <w:t>PDGFR-beta</w:t>
            </w:r>
            <w:r w:rsidRPr="001A6264">
              <w:rPr>
                <w:rFonts w:ascii="Times New Roman" w:eastAsia="標楷體" w:hAnsi="Times New Roman"/>
              </w:rPr>
              <w:t>、</w:t>
            </w:r>
            <w:r w:rsidRPr="001A6264">
              <w:rPr>
                <w:rFonts w:ascii="Times New Roman" w:eastAsia="標楷體" w:hAnsi="Times New Roman"/>
              </w:rPr>
              <w:t>FGFR1</w:t>
            </w:r>
            <w:r w:rsidRPr="001A6264">
              <w:rPr>
                <w:rFonts w:ascii="Times New Roman" w:eastAsia="標楷體" w:hAnsi="Times New Roman"/>
              </w:rPr>
              <w:t>、</w:t>
            </w:r>
            <w:r w:rsidRPr="001A6264">
              <w:rPr>
                <w:rFonts w:ascii="Times New Roman" w:eastAsia="標楷體" w:hAnsi="Times New Roman"/>
              </w:rPr>
              <w:t>FGFR2</w:t>
            </w:r>
            <w:r w:rsidRPr="001A6264">
              <w:rPr>
                <w:rFonts w:ascii="Times New Roman" w:eastAsia="標楷體" w:hAnsi="Times New Roman"/>
              </w:rPr>
              <w:t>、</w:t>
            </w:r>
            <w:r w:rsidRPr="001A6264">
              <w:rPr>
                <w:rFonts w:ascii="Times New Roman" w:eastAsia="標楷體" w:hAnsi="Times New Roman"/>
              </w:rPr>
              <w:t>TIE2</w:t>
            </w:r>
            <w:r w:rsidRPr="001A6264">
              <w:rPr>
                <w:rFonts w:ascii="Times New Roman" w:eastAsia="標楷體" w:hAnsi="Times New Roman"/>
              </w:rPr>
              <w:t>、</w:t>
            </w:r>
            <w:r w:rsidRPr="001A6264">
              <w:rPr>
                <w:rFonts w:ascii="Times New Roman" w:eastAsia="標楷體" w:hAnsi="Times New Roman"/>
              </w:rPr>
              <w:t>DDR2</w:t>
            </w:r>
            <w:r w:rsidRPr="001A6264">
              <w:rPr>
                <w:rFonts w:ascii="Times New Roman" w:eastAsia="標楷體" w:hAnsi="Times New Roman"/>
              </w:rPr>
              <w:t>、</w:t>
            </w:r>
            <w:r w:rsidRPr="001A6264">
              <w:rPr>
                <w:rFonts w:ascii="Times New Roman" w:eastAsia="標楷體" w:hAnsi="Times New Roman"/>
              </w:rPr>
              <w:t>TrkA</w:t>
            </w:r>
            <w:r w:rsidRPr="001A6264">
              <w:rPr>
                <w:rFonts w:ascii="Times New Roman" w:eastAsia="標楷體" w:hAnsi="Times New Roman"/>
              </w:rPr>
              <w:t>、</w:t>
            </w:r>
            <w:r w:rsidRPr="001A6264">
              <w:rPr>
                <w:rFonts w:ascii="Times New Roman" w:eastAsia="標楷體" w:hAnsi="Times New Roman"/>
              </w:rPr>
              <w:t>Eph2A</w:t>
            </w:r>
            <w:r w:rsidRPr="001A6264">
              <w:rPr>
                <w:rFonts w:ascii="Times New Roman" w:eastAsia="標楷體" w:hAnsi="Times New Roman"/>
              </w:rPr>
              <w:t>、</w:t>
            </w:r>
            <w:r w:rsidRPr="001A6264">
              <w:rPr>
                <w:rFonts w:ascii="Times New Roman" w:eastAsia="標楷體" w:hAnsi="Times New Roman"/>
              </w:rPr>
              <w:t>RAF-1</w:t>
            </w:r>
            <w:r w:rsidRPr="001A6264">
              <w:rPr>
                <w:rFonts w:ascii="Times New Roman" w:eastAsia="標楷體" w:hAnsi="Times New Roman"/>
              </w:rPr>
              <w:t>、</w:t>
            </w:r>
            <w:r w:rsidRPr="001A6264">
              <w:rPr>
                <w:rFonts w:ascii="Times New Roman" w:eastAsia="標楷體" w:hAnsi="Times New Roman"/>
              </w:rPr>
              <w:t>BRAF</w:t>
            </w:r>
            <w:r w:rsidRPr="001A6264">
              <w:rPr>
                <w:rFonts w:ascii="Times New Roman" w:eastAsia="標楷體" w:hAnsi="Times New Roman"/>
              </w:rPr>
              <w:t>、</w:t>
            </w:r>
            <w:r w:rsidRPr="001A6264">
              <w:rPr>
                <w:rFonts w:ascii="Times New Roman" w:eastAsia="標楷體" w:hAnsi="Times New Roman"/>
              </w:rPr>
              <w:t>BRAF V600E</w:t>
            </w:r>
            <w:r w:rsidRPr="001A6264">
              <w:rPr>
                <w:rFonts w:ascii="Times New Roman" w:eastAsia="標楷體" w:hAnsi="Times New Roman"/>
              </w:rPr>
              <w:t>、</w:t>
            </w:r>
            <w:r w:rsidRPr="001A6264">
              <w:rPr>
                <w:rFonts w:ascii="Times New Roman" w:eastAsia="標楷體" w:hAnsi="Times New Roman"/>
              </w:rPr>
              <w:t>SAPK2</w:t>
            </w:r>
            <w:r w:rsidRPr="001A6264">
              <w:rPr>
                <w:rFonts w:ascii="Times New Roman" w:eastAsia="標楷體" w:hAnsi="Times New Roman"/>
              </w:rPr>
              <w:t>、</w:t>
            </w:r>
            <w:r w:rsidRPr="001A6264">
              <w:rPr>
                <w:rFonts w:ascii="Times New Roman" w:eastAsia="標楷體" w:hAnsi="Times New Roman"/>
              </w:rPr>
              <w:t>PTK5</w:t>
            </w:r>
            <w:r w:rsidRPr="001A6264">
              <w:rPr>
                <w:rFonts w:ascii="Times New Roman" w:eastAsia="標楷體" w:hAnsi="Times New Roman"/>
              </w:rPr>
              <w:t>、</w:t>
            </w:r>
            <w:r w:rsidRPr="001A6264">
              <w:rPr>
                <w:rFonts w:ascii="Times New Roman" w:eastAsia="標楷體" w:hAnsi="Times New Roman"/>
              </w:rPr>
              <w:t>Abl</w:t>
            </w:r>
            <w:r w:rsidRPr="001A6264">
              <w:rPr>
                <w:rFonts w:ascii="Times New Roman" w:eastAsia="標楷體" w:hAnsi="Times New Roman"/>
              </w:rPr>
              <w:t>與</w:t>
            </w:r>
            <w:r w:rsidRPr="001A6264">
              <w:rPr>
                <w:rFonts w:ascii="Times New Roman" w:eastAsia="標楷體" w:hAnsi="Times New Roman"/>
              </w:rPr>
              <w:t>CSF1R</w:t>
            </w:r>
            <w:r w:rsidRPr="001A6264">
              <w:rPr>
                <w:rFonts w:ascii="Times New Roman" w:eastAsia="標楷體" w:hAnsi="Times New Roman"/>
              </w:rPr>
              <w:t>的活性。在體內模型中，</w:t>
            </w:r>
            <w:r w:rsidRPr="001A6264">
              <w:rPr>
                <w:rFonts w:ascii="Times New Roman" w:eastAsia="標楷體" w:hAnsi="Times New Roman"/>
              </w:rPr>
              <w:t>regorafenib</w:t>
            </w:r>
            <w:r w:rsidRPr="001A6264">
              <w:rPr>
                <w:rFonts w:ascii="Times New Roman" w:eastAsia="標楷體" w:hAnsi="Times New Roman"/>
              </w:rPr>
              <w:t>曾在大鼠腫瘤模型中展現出抗血管新生作用，並於多個小鼠異種移植模型中展現出抑制腫瘤生長的作用，包括人類大腸直腸癌、胃腸道基質瘤和肝細胞癌。</w:t>
            </w:r>
            <w:r w:rsidRPr="001A6264">
              <w:rPr>
                <w:rFonts w:ascii="Times New Roman" w:eastAsia="標楷體" w:hAnsi="Times New Roman"/>
              </w:rPr>
              <w:t>Regorafenib</w:t>
            </w:r>
            <w:r w:rsidRPr="001A6264">
              <w:rPr>
                <w:rFonts w:ascii="Times New Roman" w:eastAsia="標楷體" w:hAnsi="Times New Roman"/>
              </w:rPr>
              <w:t>也曾在人類大腸直腸癌的一個小鼠異種移植模型及兩個小鼠原位移植模型中，展現出抗轉移作用。</w:t>
            </w:r>
          </w:p>
        </w:tc>
      </w:tr>
      <w:tr w:rsidR="00DF2AEC" w:rsidRPr="001A6264" w:rsidTr="00E1272F">
        <w:tc>
          <w:tcPr>
            <w:tcW w:w="970" w:type="dxa"/>
            <w:tcBorders>
              <w:bottom w:val="single" w:sz="4" w:space="0" w:color="auto"/>
            </w:tcBorders>
            <w:vAlign w:val="center"/>
          </w:tcPr>
          <w:p w:rsidR="00DF2AEC" w:rsidRPr="00386048" w:rsidRDefault="00DF2AEC" w:rsidP="00E1272F">
            <w:pPr>
              <w:widowControl/>
              <w:jc w:val="both"/>
              <w:rPr>
                <w:rFonts w:ascii="Times New Roman" w:eastAsia="標楷體" w:hAnsi="Times New Roman"/>
              </w:rPr>
            </w:pPr>
            <w:r w:rsidRPr="00386048">
              <w:rPr>
                <w:rFonts w:ascii="Times New Roman" w:eastAsia="標楷體" w:hAnsi="Times New Roman"/>
              </w:rPr>
              <w:t>適應症</w:t>
            </w:r>
          </w:p>
        </w:tc>
        <w:tc>
          <w:tcPr>
            <w:tcW w:w="14482" w:type="dxa"/>
            <w:tcBorders>
              <w:bottom w:val="single" w:sz="4" w:space="0" w:color="auto"/>
            </w:tcBorders>
          </w:tcPr>
          <w:p w:rsidR="00DF2AEC" w:rsidRPr="001A6264" w:rsidRDefault="00DF2AEC" w:rsidP="003555E5">
            <w:pPr>
              <w:pStyle w:val="a9"/>
              <w:widowControl/>
              <w:numPr>
                <w:ilvl w:val="0"/>
                <w:numId w:val="13"/>
              </w:numPr>
              <w:tabs>
                <w:tab w:val="left" w:pos="3255"/>
              </w:tabs>
              <w:ind w:leftChars="0"/>
              <w:rPr>
                <w:rFonts w:ascii="Times New Roman" w:eastAsia="標楷體" w:hAnsi="Times New Roman"/>
              </w:rPr>
            </w:pPr>
            <w:r w:rsidRPr="001A6264">
              <w:rPr>
                <w:rFonts w:ascii="Times New Roman" w:eastAsia="標楷體" w:hAnsi="Times New Roman"/>
              </w:rPr>
              <w:t>大腸直腸癌</w:t>
            </w:r>
            <w:r>
              <w:rPr>
                <w:rFonts w:ascii="Times New Roman" w:eastAsia="標楷體" w:hAnsi="Times New Roman" w:hint="eastAsia"/>
              </w:rPr>
              <w:t>：</w:t>
            </w:r>
            <w:r w:rsidRPr="001A6264">
              <w:rPr>
                <w:rFonts w:ascii="Times New Roman" w:eastAsia="標楷體" w:hAnsi="Times New Roman"/>
              </w:rPr>
              <w:t>Regorafenib</w:t>
            </w:r>
            <w:r w:rsidRPr="001A6264">
              <w:rPr>
                <w:rFonts w:ascii="Times New Roman" w:eastAsia="標楷體" w:hAnsi="Times New Roman"/>
              </w:rPr>
              <w:t>適用於治療先前曾接受下列療法的轉移性大腸直腸癌</w:t>
            </w:r>
            <w:r w:rsidRPr="001A6264">
              <w:rPr>
                <w:rFonts w:ascii="Times New Roman" w:eastAsia="標楷體" w:hAnsi="Times New Roman"/>
              </w:rPr>
              <w:t>(mCRC)</w:t>
            </w:r>
            <w:r w:rsidRPr="001A6264">
              <w:rPr>
                <w:rFonts w:ascii="Times New Roman" w:eastAsia="標楷體" w:hAnsi="Times New Roman"/>
              </w:rPr>
              <w:t>病人，療法包含</w:t>
            </w:r>
            <w:r w:rsidR="00222CD7">
              <w:rPr>
                <w:rFonts w:ascii="Times New Roman" w:eastAsia="標楷體" w:hAnsi="Times New Roman"/>
              </w:rPr>
              <w:t>fluoropyrimidine-</w:t>
            </w:r>
            <w:r w:rsidR="00222CD7">
              <w:rPr>
                <w:rFonts w:ascii="Times New Roman" w:eastAsia="標楷體" w:hAnsi="Times New Roman" w:hint="eastAsia"/>
              </w:rPr>
              <w:t>、</w:t>
            </w:r>
            <w:r w:rsidRPr="001A6264">
              <w:rPr>
                <w:rFonts w:ascii="Times New Roman" w:eastAsia="標楷體" w:hAnsi="Times New Roman"/>
              </w:rPr>
              <w:t>oxaliplatin-</w:t>
            </w:r>
            <w:r w:rsidRPr="001A6264">
              <w:rPr>
                <w:rFonts w:ascii="Times New Roman" w:eastAsia="標楷體" w:hAnsi="Times New Roman"/>
              </w:rPr>
              <w:t>和</w:t>
            </w:r>
            <w:r w:rsidRPr="001A6264">
              <w:rPr>
                <w:rFonts w:ascii="Times New Roman" w:eastAsia="標楷體" w:hAnsi="Times New Roman"/>
              </w:rPr>
              <w:t>irinotecan-</w:t>
            </w:r>
            <w:r w:rsidRPr="001A6264">
              <w:rPr>
                <w:rFonts w:ascii="Times New Roman" w:eastAsia="標楷體" w:hAnsi="Times New Roman"/>
              </w:rPr>
              <w:t>為基礎的化療，和抗血管內皮生長因子</w:t>
            </w:r>
            <w:r w:rsidRPr="001A6264">
              <w:rPr>
                <w:rFonts w:ascii="Times New Roman" w:eastAsia="標楷體" w:hAnsi="Times New Roman"/>
              </w:rPr>
              <w:t>(anti-VEGF)</w:t>
            </w:r>
            <w:r w:rsidRPr="001A6264">
              <w:rPr>
                <w:rFonts w:ascii="Times New Roman" w:eastAsia="標楷體" w:hAnsi="Times New Roman"/>
              </w:rPr>
              <w:t>等療法；若</w:t>
            </w:r>
            <w:r w:rsidRPr="001A6264">
              <w:rPr>
                <w:rFonts w:ascii="Times New Roman" w:eastAsia="標楷體" w:hAnsi="Times New Roman"/>
              </w:rPr>
              <w:t>KRA</w:t>
            </w:r>
            <w:r w:rsidRPr="001A6264">
              <w:rPr>
                <w:rFonts w:ascii="Times New Roman" w:eastAsia="標楷體" w:hAnsi="Times New Roman"/>
              </w:rPr>
              <w:t>為原生型</w:t>
            </w:r>
            <w:r w:rsidRPr="001A6264">
              <w:rPr>
                <w:rFonts w:ascii="Times New Roman" w:eastAsia="標楷體" w:hAnsi="Times New Roman"/>
              </w:rPr>
              <w:t>(wild type)</w:t>
            </w:r>
            <w:r w:rsidRPr="001A6264">
              <w:rPr>
                <w:rFonts w:ascii="Times New Roman" w:eastAsia="標楷體" w:hAnsi="Times New Roman"/>
              </w:rPr>
              <w:t>則需接受過抗表皮生長因子受體</w:t>
            </w:r>
            <w:r w:rsidRPr="001A6264">
              <w:rPr>
                <w:rFonts w:ascii="Times New Roman" w:eastAsia="標楷體" w:hAnsi="Times New Roman"/>
              </w:rPr>
              <w:t>(anti-EGFR)</w:t>
            </w:r>
            <w:r w:rsidRPr="001A6264">
              <w:rPr>
                <w:rFonts w:ascii="Times New Roman" w:eastAsia="標楷體" w:hAnsi="Times New Roman"/>
              </w:rPr>
              <w:t>療法。</w:t>
            </w:r>
          </w:p>
          <w:p w:rsidR="00DF2AEC" w:rsidRPr="001A6264" w:rsidRDefault="00DF2AEC" w:rsidP="003555E5">
            <w:pPr>
              <w:pStyle w:val="a9"/>
              <w:widowControl/>
              <w:numPr>
                <w:ilvl w:val="0"/>
                <w:numId w:val="13"/>
              </w:numPr>
              <w:tabs>
                <w:tab w:val="left" w:pos="3255"/>
              </w:tabs>
              <w:ind w:leftChars="0"/>
              <w:rPr>
                <w:rFonts w:ascii="Times New Roman" w:eastAsia="標楷體" w:hAnsi="Times New Roman"/>
              </w:rPr>
            </w:pPr>
            <w:r w:rsidRPr="001A6264">
              <w:rPr>
                <w:rFonts w:ascii="Times New Roman" w:eastAsia="標楷體" w:hAnsi="Times New Roman"/>
              </w:rPr>
              <w:t>腸胃道間質腫瘤</w:t>
            </w:r>
            <w:r>
              <w:rPr>
                <w:rFonts w:ascii="Times New Roman" w:eastAsia="標楷體" w:hAnsi="Times New Roman" w:hint="eastAsia"/>
              </w:rPr>
              <w:t>：</w:t>
            </w:r>
            <w:r w:rsidRPr="001A6264">
              <w:rPr>
                <w:rFonts w:ascii="Times New Roman" w:eastAsia="標楷體" w:hAnsi="Times New Roman"/>
              </w:rPr>
              <w:t>適用於治療先前曾接受</w:t>
            </w:r>
            <w:r w:rsidRPr="001A6264">
              <w:rPr>
                <w:rFonts w:ascii="Times New Roman" w:eastAsia="標楷體" w:hAnsi="Times New Roman"/>
              </w:rPr>
              <w:t>imatinib mesylate</w:t>
            </w:r>
            <w:r w:rsidRPr="001A6264">
              <w:rPr>
                <w:rFonts w:ascii="Times New Roman" w:eastAsia="標楷體" w:hAnsi="Times New Roman"/>
              </w:rPr>
              <w:t>與</w:t>
            </w:r>
            <w:r w:rsidRPr="001A6264">
              <w:rPr>
                <w:rFonts w:ascii="Times New Roman" w:eastAsia="標楷體" w:hAnsi="Times New Roman"/>
              </w:rPr>
              <w:t>sunitinib malate</w:t>
            </w:r>
            <w:r w:rsidRPr="001A6264">
              <w:rPr>
                <w:rFonts w:ascii="Times New Roman" w:eastAsia="標楷體" w:hAnsi="Times New Roman"/>
              </w:rPr>
              <w:t>病人之局部晚期、無法切除或轉移性的腸胃道間質腫瘤病人。</w:t>
            </w:r>
          </w:p>
          <w:p w:rsidR="00DF2AEC" w:rsidRPr="001A6264" w:rsidRDefault="00DF2AEC" w:rsidP="003555E5">
            <w:pPr>
              <w:pStyle w:val="a9"/>
              <w:widowControl/>
              <w:numPr>
                <w:ilvl w:val="0"/>
                <w:numId w:val="13"/>
              </w:numPr>
              <w:tabs>
                <w:tab w:val="left" w:pos="3255"/>
              </w:tabs>
              <w:ind w:leftChars="0"/>
              <w:rPr>
                <w:rFonts w:ascii="Times New Roman" w:eastAsia="標楷體" w:hAnsi="Times New Roman"/>
              </w:rPr>
            </w:pPr>
            <w:r w:rsidRPr="001A6264">
              <w:rPr>
                <w:rFonts w:ascii="Times New Roman" w:eastAsia="標楷體" w:hAnsi="Times New Roman"/>
              </w:rPr>
              <w:lastRenderedPageBreak/>
              <w:t>肝細胞癌</w:t>
            </w:r>
            <w:r>
              <w:rPr>
                <w:rFonts w:ascii="Times New Roman" w:eastAsia="標楷體" w:hAnsi="Times New Roman" w:hint="eastAsia"/>
              </w:rPr>
              <w:t>：</w:t>
            </w:r>
            <w:r w:rsidRPr="001A6264">
              <w:rPr>
                <w:rFonts w:ascii="Times New Roman" w:eastAsia="標楷體" w:hAnsi="Times New Roman"/>
              </w:rPr>
              <w:t>適用於治療曾接受</w:t>
            </w:r>
            <w:r w:rsidRPr="001A6264">
              <w:rPr>
                <w:rFonts w:ascii="Times New Roman" w:eastAsia="標楷體" w:hAnsi="Times New Roman"/>
              </w:rPr>
              <w:t>sorafenib</w:t>
            </w:r>
            <w:r w:rsidRPr="001A6264">
              <w:rPr>
                <w:rFonts w:ascii="Times New Roman" w:eastAsia="標楷體" w:hAnsi="Times New Roman"/>
              </w:rPr>
              <w:t>治療的肝細胞癌</w:t>
            </w:r>
            <w:r w:rsidRPr="001A6264">
              <w:rPr>
                <w:rFonts w:ascii="Times New Roman" w:eastAsia="標楷體" w:hAnsi="Times New Roman"/>
              </w:rPr>
              <w:t>(HCC)</w:t>
            </w:r>
            <w:r w:rsidRPr="001A6264">
              <w:rPr>
                <w:rFonts w:ascii="Times New Roman" w:eastAsia="標楷體" w:hAnsi="Times New Roman"/>
              </w:rPr>
              <w:t>病人。</w:t>
            </w:r>
          </w:p>
        </w:tc>
      </w:tr>
      <w:tr w:rsidR="00DF2AEC" w:rsidRPr="0001660E" w:rsidTr="00E1272F">
        <w:tc>
          <w:tcPr>
            <w:tcW w:w="15452" w:type="dxa"/>
            <w:gridSpan w:val="2"/>
            <w:tcBorders>
              <w:top w:val="nil"/>
              <w:left w:val="nil"/>
              <w:right w:val="nil"/>
            </w:tcBorders>
          </w:tcPr>
          <w:p w:rsidR="00DF2AEC" w:rsidRPr="0001660E" w:rsidRDefault="00DF2AEC" w:rsidP="003555E5">
            <w:pPr>
              <w:pStyle w:val="a9"/>
              <w:widowControl/>
              <w:numPr>
                <w:ilvl w:val="0"/>
                <w:numId w:val="6"/>
              </w:numPr>
              <w:ind w:leftChars="0"/>
              <w:rPr>
                <w:rFonts w:ascii="Times New Roman" w:eastAsia="標楷體" w:hAnsi="Times New Roman"/>
                <w:b/>
                <w:color w:val="000000" w:themeColor="text1"/>
                <w:szCs w:val="24"/>
              </w:rPr>
            </w:pPr>
            <w:r w:rsidRPr="0001660E">
              <w:rPr>
                <w:rFonts w:ascii="Times New Roman" w:eastAsia="標楷體"/>
                <w:b/>
                <w:bCs/>
                <w:color w:val="000000" w:themeColor="text1"/>
                <w:kern w:val="36"/>
                <w:lang w:bidi="hi-IN"/>
              </w:rPr>
              <w:lastRenderedPageBreak/>
              <w:t>Ponatinib</w:t>
            </w:r>
          </w:p>
        </w:tc>
      </w:tr>
      <w:tr w:rsidR="00DF2AEC" w:rsidRPr="00386048" w:rsidTr="00E1272F">
        <w:tc>
          <w:tcPr>
            <w:tcW w:w="970" w:type="dxa"/>
            <w:vAlign w:val="center"/>
          </w:tcPr>
          <w:p w:rsidR="00DF2AEC" w:rsidRPr="00386048" w:rsidRDefault="00DF2AEC" w:rsidP="00E1272F">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Pr>
          <w:p w:rsidR="00DF2AEC" w:rsidRPr="00386048" w:rsidRDefault="00DF2AEC" w:rsidP="00E1272F">
            <w:pPr>
              <w:widowControl/>
              <w:rPr>
                <w:rFonts w:ascii="Times New Roman" w:eastAsia="標楷體" w:hAnsi="Times New Roman"/>
              </w:rPr>
            </w:pPr>
            <w:r>
              <w:rPr>
                <w:rFonts w:ascii="Times New Roman" w:eastAsia="標楷體" w:hAnsi="Times New Roman"/>
              </w:rPr>
              <w:t>Ponatinib</w:t>
            </w:r>
            <w:r w:rsidRPr="00AF5EF5">
              <w:rPr>
                <w:rFonts w:ascii="Times New Roman" w:eastAsia="標楷體" w:hAnsi="Times New Roman"/>
              </w:rPr>
              <w:t>為一激酶抑制劑</w:t>
            </w:r>
            <w:r w:rsidRPr="00AF5EF5">
              <w:rPr>
                <w:rFonts w:ascii="Times New Roman" w:eastAsia="標楷體" w:hAnsi="Times New Roman"/>
              </w:rPr>
              <w:t>(kinase inhibitor)</w:t>
            </w:r>
            <w:r w:rsidRPr="00AF5EF5">
              <w:rPr>
                <w:rFonts w:ascii="Times New Roman" w:eastAsia="標楷體" w:hAnsi="Times New Roman"/>
              </w:rPr>
              <w:t>。在體外，</w:t>
            </w:r>
            <w:r>
              <w:rPr>
                <w:rFonts w:ascii="Times New Roman" w:eastAsia="標楷體" w:hAnsi="Times New Roman"/>
              </w:rPr>
              <w:t>ponatinib</w:t>
            </w:r>
            <w:r w:rsidRPr="00AF5EF5">
              <w:rPr>
                <w:rFonts w:ascii="Times New Roman" w:eastAsia="標楷體" w:hAnsi="Times New Roman"/>
              </w:rPr>
              <w:t>抑制</w:t>
            </w:r>
            <w:r>
              <w:rPr>
                <w:rFonts w:ascii="Times New Roman" w:eastAsia="標楷體" w:hAnsi="Times New Roman"/>
              </w:rPr>
              <w:t>ABL</w:t>
            </w:r>
            <w:r w:rsidRPr="00AF5EF5">
              <w:rPr>
                <w:rFonts w:ascii="Times New Roman" w:eastAsia="標楷體" w:hAnsi="Times New Roman"/>
              </w:rPr>
              <w:t>與</w:t>
            </w:r>
            <w:r>
              <w:rPr>
                <w:rFonts w:ascii="Times New Roman" w:eastAsia="標楷體" w:hAnsi="Times New Roman"/>
              </w:rPr>
              <w:t>T315I</w:t>
            </w:r>
            <w:r w:rsidRPr="00AF5EF5">
              <w:rPr>
                <w:rFonts w:ascii="Times New Roman" w:eastAsia="標楷體" w:hAnsi="Times New Roman"/>
              </w:rPr>
              <w:t>突變型</w:t>
            </w:r>
            <w:r>
              <w:rPr>
                <w:rFonts w:ascii="Times New Roman" w:eastAsia="標楷體" w:hAnsi="Times New Roman"/>
              </w:rPr>
              <w:t>ABL</w:t>
            </w:r>
            <w:r w:rsidRPr="00AF5EF5">
              <w:rPr>
                <w:rFonts w:ascii="Times New Roman" w:eastAsia="標楷體" w:hAnsi="Times New Roman"/>
              </w:rPr>
              <w:t>的酪胺酸激酶</w:t>
            </w:r>
            <w:r w:rsidRPr="00AF5EF5">
              <w:rPr>
                <w:rFonts w:ascii="Times New Roman" w:eastAsia="標楷體" w:hAnsi="Times New Roman"/>
              </w:rPr>
              <w:t>(tyrosine kinase)</w:t>
            </w:r>
            <w:r w:rsidRPr="00AF5EF5">
              <w:rPr>
                <w:rFonts w:ascii="Times New Roman" w:eastAsia="標楷體" w:hAnsi="Times New Roman"/>
              </w:rPr>
              <w:t>活性</w:t>
            </w:r>
            <w:r>
              <w:rPr>
                <w:rFonts w:ascii="Times New Roman" w:eastAsia="標楷體" w:hAnsi="Times New Roman" w:hint="eastAsia"/>
              </w:rPr>
              <w:t>，</w:t>
            </w:r>
            <w:r w:rsidRPr="00AF5EF5">
              <w:rPr>
                <w:rFonts w:ascii="Times New Roman" w:eastAsia="標楷體" w:hAnsi="Times New Roman"/>
              </w:rPr>
              <w:t xml:space="preserve">ponatinib </w:t>
            </w:r>
            <w:r>
              <w:rPr>
                <w:rFonts w:ascii="Times New Roman" w:eastAsia="標楷體" w:hAnsi="Times New Roman" w:hint="eastAsia"/>
              </w:rPr>
              <w:t>亦</w:t>
            </w:r>
            <w:r w:rsidRPr="00AF5EF5">
              <w:rPr>
                <w:rFonts w:ascii="Times New Roman" w:eastAsia="標楷體" w:hAnsi="Times New Roman"/>
              </w:rPr>
              <w:t>抑制其他激酶的活性，包括</w:t>
            </w:r>
            <w:r w:rsidRPr="00AF5EF5">
              <w:rPr>
                <w:rFonts w:ascii="Times New Roman" w:eastAsia="標楷體" w:hAnsi="Times New Roman"/>
              </w:rPr>
              <w:t>VEGFR</w:t>
            </w:r>
            <w:r w:rsidRPr="00AF5EF5">
              <w:rPr>
                <w:rFonts w:ascii="Times New Roman" w:eastAsia="標楷體" w:hAnsi="Times New Roman"/>
              </w:rPr>
              <w:t>、</w:t>
            </w:r>
            <w:r w:rsidRPr="00AF5EF5">
              <w:rPr>
                <w:rFonts w:ascii="Times New Roman" w:eastAsia="標楷體" w:hAnsi="Times New Roman"/>
              </w:rPr>
              <w:t>PDGFR</w:t>
            </w:r>
            <w:r w:rsidRPr="00AF5EF5">
              <w:rPr>
                <w:rFonts w:ascii="Times New Roman" w:eastAsia="標楷體" w:hAnsi="Times New Roman"/>
              </w:rPr>
              <w:t>、</w:t>
            </w:r>
            <w:r w:rsidRPr="00AF5EF5">
              <w:rPr>
                <w:rFonts w:ascii="Times New Roman" w:eastAsia="標楷體" w:hAnsi="Times New Roman"/>
              </w:rPr>
              <w:t>FGFR</w:t>
            </w:r>
            <w:r w:rsidRPr="00AF5EF5">
              <w:rPr>
                <w:rFonts w:ascii="Times New Roman" w:eastAsia="標楷體" w:hAnsi="Times New Roman"/>
              </w:rPr>
              <w:t>、</w:t>
            </w:r>
            <w:r>
              <w:rPr>
                <w:rFonts w:ascii="Times New Roman" w:eastAsia="標楷體" w:hAnsi="Times New Roman"/>
              </w:rPr>
              <w:t>EPH</w:t>
            </w:r>
            <w:r w:rsidRPr="00AF5EF5">
              <w:rPr>
                <w:rFonts w:ascii="Times New Roman" w:eastAsia="標楷體" w:hAnsi="Times New Roman"/>
              </w:rPr>
              <w:t>受體和</w:t>
            </w:r>
            <w:r>
              <w:rPr>
                <w:rFonts w:ascii="Times New Roman" w:eastAsia="標楷體" w:hAnsi="Times New Roman"/>
              </w:rPr>
              <w:t>SRC</w:t>
            </w:r>
            <w:r w:rsidRPr="00AF5EF5">
              <w:rPr>
                <w:rFonts w:ascii="Times New Roman" w:eastAsia="標楷體" w:hAnsi="Times New Roman"/>
              </w:rPr>
              <w:t>家族激酶以及</w:t>
            </w:r>
            <w:r w:rsidRPr="00AF5EF5">
              <w:rPr>
                <w:rFonts w:ascii="Times New Roman" w:eastAsia="標楷體" w:hAnsi="Times New Roman"/>
              </w:rPr>
              <w:t>KIT</w:t>
            </w:r>
            <w:r w:rsidRPr="00AF5EF5">
              <w:rPr>
                <w:rFonts w:ascii="Times New Roman" w:eastAsia="標楷體" w:hAnsi="Times New Roman"/>
              </w:rPr>
              <w:t>、</w:t>
            </w:r>
            <w:r w:rsidRPr="00AF5EF5">
              <w:rPr>
                <w:rFonts w:ascii="Times New Roman" w:eastAsia="標楷體" w:hAnsi="Times New Roman"/>
              </w:rPr>
              <w:t>RET</w:t>
            </w:r>
            <w:r w:rsidRPr="00AF5EF5">
              <w:rPr>
                <w:rFonts w:ascii="Times New Roman" w:eastAsia="標楷體" w:hAnsi="Times New Roman"/>
              </w:rPr>
              <w:t>、</w:t>
            </w:r>
            <w:r w:rsidRPr="00AF5EF5">
              <w:rPr>
                <w:rFonts w:ascii="Times New Roman" w:eastAsia="標楷體" w:hAnsi="Times New Roman"/>
              </w:rPr>
              <w:t xml:space="preserve">TIE2 </w:t>
            </w:r>
            <w:r w:rsidRPr="00AF5EF5">
              <w:rPr>
                <w:rFonts w:ascii="Times New Roman" w:eastAsia="標楷體" w:hAnsi="Times New Roman"/>
              </w:rPr>
              <w:t>和</w:t>
            </w:r>
            <w:r w:rsidRPr="00AF5EF5">
              <w:rPr>
                <w:rFonts w:ascii="Times New Roman" w:eastAsia="標楷體" w:hAnsi="Times New Roman"/>
              </w:rPr>
              <w:t>FLT3</w:t>
            </w:r>
            <w:r w:rsidRPr="00AF5EF5">
              <w:rPr>
                <w:rFonts w:ascii="Times New Roman" w:eastAsia="標楷體" w:hAnsi="Times New Roman"/>
              </w:rPr>
              <w:t>。在體外，</w:t>
            </w:r>
            <w:r>
              <w:rPr>
                <w:rFonts w:ascii="Times New Roman" w:eastAsia="標楷體" w:hAnsi="Times New Roman"/>
              </w:rPr>
              <w:t>ponatinib</w:t>
            </w:r>
            <w:r w:rsidRPr="00AF5EF5">
              <w:rPr>
                <w:rFonts w:ascii="Times New Roman" w:eastAsia="標楷體" w:hAnsi="Times New Roman"/>
              </w:rPr>
              <w:t>可抑制表現正常或突變的</w:t>
            </w:r>
            <w:r>
              <w:rPr>
                <w:rFonts w:ascii="Times New Roman" w:eastAsia="標楷體" w:hAnsi="Times New Roman"/>
              </w:rPr>
              <w:t>BCR-ABL</w:t>
            </w:r>
            <w:r w:rsidRPr="00AF5EF5">
              <w:rPr>
                <w:rFonts w:ascii="Times New Roman" w:eastAsia="標楷體" w:hAnsi="Times New Roman"/>
              </w:rPr>
              <w:t>的細胞活性，包括</w:t>
            </w:r>
            <w:r w:rsidRPr="00AF5EF5">
              <w:rPr>
                <w:rFonts w:ascii="Times New Roman" w:eastAsia="標楷體" w:hAnsi="Times New Roman"/>
              </w:rPr>
              <w:t>T315I</w:t>
            </w:r>
            <w:r w:rsidRPr="00AF5EF5">
              <w:rPr>
                <w:rFonts w:ascii="Times New Roman" w:eastAsia="標楷體" w:hAnsi="Times New Roman"/>
              </w:rPr>
              <w:t>。與對照組相比，小鼠使用</w:t>
            </w:r>
            <w:r>
              <w:rPr>
                <w:rFonts w:ascii="Times New Roman" w:eastAsia="標楷體" w:hAnsi="Times New Roman"/>
              </w:rPr>
              <w:t>ponatinib</w:t>
            </w:r>
            <w:r w:rsidRPr="00AF5EF5">
              <w:rPr>
                <w:rFonts w:ascii="Times New Roman" w:eastAsia="標楷體" w:hAnsi="Times New Roman"/>
              </w:rPr>
              <w:t>治療降低了具有正常或</w:t>
            </w:r>
            <w:r w:rsidR="00222CD7">
              <w:rPr>
                <w:rFonts w:ascii="Times New Roman" w:eastAsia="標楷體" w:hAnsi="Times New Roman"/>
              </w:rPr>
              <w:t>T315I</w:t>
            </w:r>
            <w:r w:rsidRPr="00AF5EF5">
              <w:rPr>
                <w:rFonts w:ascii="Times New Roman" w:eastAsia="標楷體" w:hAnsi="Times New Roman"/>
              </w:rPr>
              <w:t>突變型</w:t>
            </w:r>
            <w:r w:rsidRPr="00AF5EF5">
              <w:rPr>
                <w:rFonts w:ascii="Times New Roman" w:eastAsia="標楷體" w:hAnsi="Times New Roman"/>
              </w:rPr>
              <w:t xml:space="preserve"> BCR-ABL </w:t>
            </w:r>
            <w:r w:rsidRPr="00AF5EF5">
              <w:rPr>
                <w:rFonts w:ascii="Times New Roman" w:eastAsia="標楷體" w:hAnsi="Times New Roman"/>
              </w:rPr>
              <w:t>腫瘤的大小。</w:t>
            </w:r>
          </w:p>
        </w:tc>
      </w:tr>
      <w:tr w:rsidR="00DF2AEC" w:rsidRPr="0058462B" w:rsidTr="00E1272F">
        <w:tc>
          <w:tcPr>
            <w:tcW w:w="970" w:type="dxa"/>
            <w:tcBorders>
              <w:bottom w:val="single" w:sz="4" w:space="0" w:color="auto"/>
            </w:tcBorders>
            <w:vAlign w:val="center"/>
          </w:tcPr>
          <w:p w:rsidR="00DF2AEC" w:rsidRPr="00386048" w:rsidRDefault="00DF2AEC" w:rsidP="00E1272F">
            <w:pPr>
              <w:widowControl/>
              <w:jc w:val="both"/>
              <w:rPr>
                <w:rFonts w:ascii="Times New Roman" w:eastAsia="標楷體" w:hAnsi="Times New Roman"/>
              </w:rPr>
            </w:pPr>
            <w:r w:rsidRPr="00386048">
              <w:rPr>
                <w:rFonts w:ascii="Times New Roman" w:eastAsia="標楷體" w:hAnsi="Times New Roman"/>
              </w:rPr>
              <w:t>適應症</w:t>
            </w:r>
          </w:p>
        </w:tc>
        <w:tc>
          <w:tcPr>
            <w:tcW w:w="14482" w:type="dxa"/>
            <w:tcBorders>
              <w:bottom w:val="single" w:sz="4" w:space="0" w:color="auto"/>
            </w:tcBorders>
          </w:tcPr>
          <w:p w:rsidR="00DF2AEC" w:rsidRPr="0058462B" w:rsidRDefault="00DF2AEC" w:rsidP="00E1272F">
            <w:pPr>
              <w:widowControl/>
              <w:rPr>
                <w:rFonts w:ascii="Times New Roman" w:eastAsia="標楷體" w:hAnsi="Times New Roman"/>
              </w:rPr>
            </w:pPr>
            <w:r w:rsidRPr="0058462B">
              <w:rPr>
                <w:rFonts w:ascii="Times New Roman" w:eastAsia="標楷體" w:hAnsi="Times New Roman"/>
              </w:rPr>
              <w:t>Ponatinib</w:t>
            </w:r>
            <w:r w:rsidRPr="0058462B">
              <w:rPr>
                <w:rFonts w:ascii="Times New Roman" w:eastAsia="標楷體" w:hAnsi="Times New Roman"/>
              </w:rPr>
              <w:t>是一種酪胺酸激酶抑制劑</w:t>
            </w:r>
            <w:r w:rsidRPr="0058462B">
              <w:rPr>
                <w:rFonts w:ascii="Times New Roman" w:eastAsia="標楷體" w:hAnsi="Times New Roman"/>
              </w:rPr>
              <w:t>(tyrosine kinase inhibitors, TKI)</w:t>
            </w:r>
            <w:r w:rsidRPr="0058462B">
              <w:rPr>
                <w:rFonts w:ascii="Times New Roman" w:eastAsia="標楷體" w:hAnsi="Times New Roman"/>
              </w:rPr>
              <w:t>，適用於：</w:t>
            </w:r>
          </w:p>
          <w:p w:rsidR="00DF2AEC" w:rsidRDefault="00DF2AEC" w:rsidP="003555E5">
            <w:pPr>
              <w:pStyle w:val="a9"/>
              <w:widowControl/>
              <w:numPr>
                <w:ilvl w:val="0"/>
                <w:numId w:val="9"/>
              </w:numPr>
              <w:ind w:leftChars="0"/>
              <w:rPr>
                <w:rFonts w:ascii="Times New Roman" w:eastAsia="標楷體" w:hAnsi="Times New Roman"/>
              </w:rPr>
            </w:pPr>
            <w:r w:rsidRPr="0058462B">
              <w:rPr>
                <w:rFonts w:ascii="Times New Roman" w:eastAsia="標楷體" w:hAnsi="Times New Roman"/>
              </w:rPr>
              <w:t>治療無法以其他</w:t>
            </w:r>
            <w:r w:rsidRPr="0058462B">
              <w:rPr>
                <w:rFonts w:ascii="Times New Roman" w:eastAsia="標楷體" w:hAnsi="Times New Roman"/>
              </w:rPr>
              <w:t>TKI</w:t>
            </w:r>
            <w:r w:rsidRPr="0058462B">
              <w:rPr>
                <w:rFonts w:ascii="Times New Roman" w:eastAsia="標楷體" w:hAnsi="Times New Roman"/>
              </w:rPr>
              <w:t>治療的慢性期、加速期或急性期慢性骨髓性白血病</w:t>
            </w:r>
            <w:r w:rsidRPr="0058462B">
              <w:rPr>
                <w:rFonts w:ascii="Times New Roman" w:eastAsia="標楷體" w:hAnsi="Times New Roman"/>
              </w:rPr>
              <w:t>(CML)</w:t>
            </w:r>
            <w:r w:rsidRPr="0058462B">
              <w:rPr>
                <w:rFonts w:ascii="Times New Roman" w:eastAsia="標楷體" w:hAnsi="Times New Roman"/>
              </w:rPr>
              <w:t>或費城染色體陽性急性淋巴性白血病</w:t>
            </w:r>
            <w:r w:rsidRPr="0058462B">
              <w:rPr>
                <w:rFonts w:ascii="Times New Roman" w:eastAsia="標楷體" w:hAnsi="Times New Roman"/>
              </w:rPr>
              <w:t>(Ph +ALL)</w:t>
            </w:r>
            <w:r w:rsidRPr="0058462B">
              <w:rPr>
                <w:rFonts w:ascii="Times New Roman" w:eastAsia="標楷體" w:hAnsi="Times New Roman"/>
              </w:rPr>
              <w:t>成人患者。</w:t>
            </w:r>
          </w:p>
          <w:p w:rsidR="00DF2AEC" w:rsidRPr="0058462B" w:rsidRDefault="00DF2AEC" w:rsidP="003555E5">
            <w:pPr>
              <w:pStyle w:val="a9"/>
              <w:widowControl/>
              <w:numPr>
                <w:ilvl w:val="0"/>
                <w:numId w:val="9"/>
              </w:numPr>
              <w:ind w:leftChars="0"/>
              <w:rPr>
                <w:rFonts w:ascii="Times New Roman" w:eastAsia="標楷體" w:hAnsi="Times New Roman"/>
              </w:rPr>
            </w:pPr>
            <w:r w:rsidRPr="0058462B">
              <w:rPr>
                <w:rFonts w:ascii="Times New Roman" w:eastAsia="標楷體" w:hAnsi="Times New Roman"/>
              </w:rPr>
              <w:t>治療</w:t>
            </w:r>
            <w:r w:rsidRPr="0058462B">
              <w:rPr>
                <w:rFonts w:ascii="Times New Roman" w:eastAsia="標楷體" w:hAnsi="Times New Roman"/>
              </w:rPr>
              <w:t xml:space="preserve">T315I </w:t>
            </w:r>
            <w:r w:rsidRPr="0058462B">
              <w:rPr>
                <w:rFonts w:ascii="Times New Roman" w:eastAsia="標楷體" w:hAnsi="Times New Roman"/>
              </w:rPr>
              <w:t>陽性之慢性期、加速期或急性期慢性骨髓性白血病</w:t>
            </w:r>
            <w:r w:rsidRPr="0058462B">
              <w:rPr>
                <w:rFonts w:ascii="Times New Roman" w:eastAsia="標楷體" w:hAnsi="Times New Roman"/>
              </w:rPr>
              <w:t>(CML)</w:t>
            </w:r>
            <w:r w:rsidRPr="0058462B">
              <w:rPr>
                <w:rFonts w:ascii="Times New Roman" w:eastAsia="標楷體" w:hAnsi="Times New Roman"/>
              </w:rPr>
              <w:t>或</w:t>
            </w:r>
            <w:r w:rsidRPr="0058462B">
              <w:rPr>
                <w:rFonts w:ascii="Times New Roman" w:eastAsia="標楷體" w:hAnsi="Times New Roman"/>
              </w:rPr>
              <w:t xml:space="preserve">T315I </w:t>
            </w:r>
            <w:r w:rsidRPr="0058462B">
              <w:rPr>
                <w:rFonts w:ascii="Times New Roman" w:eastAsia="標楷體" w:hAnsi="Times New Roman"/>
              </w:rPr>
              <w:t>陽性之費城染色體陽性急性淋巴性白血病</w:t>
            </w:r>
            <w:r w:rsidRPr="0058462B">
              <w:rPr>
                <w:rFonts w:ascii="Times New Roman" w:eastAsia="標楷體" w:hAnsi="Times New Roman"/>
              </w:rPr>
              <w:t>(Ph+ALL)</w:t>
            </w:r>
            <w:r w:rsidRPr="0058462B">
              <w:rPr>
                <w:rFonts w:ascii="Times New Roman" w:eastAsia="標楷體" w:hAnsi="Times New Roman"/>
              </w:rPr>
              <w:t>成人患者。</w:t>
            </w:r>
          </w:p>
        </w:tc>
      </w:tr>
      <w:tr w:rsidR="00DF2AEC" w:rsidRPr="0001660E" w:rsidTr="00E1272F">
        <w:tc>
          <w:tcPr>
            <w:tcW w:w="15452" w:type="dxa"/>
            <w:gridSpan w:val="2"/>
            <w:tcBorders>
              <w:left w:val="nil"/>
              <w:right w:val="nil"/>
            </w:tcBorders>
          </w:tcPr>
          <w:p w:rsidR="00DF2AEC" w:rsidRPr="0001660E" w:rsidRDefault="00DF2AEC" w:rsidP="003555E5">
            <w:pPr>
              <w:pStyle w:val="a9"/>
              <w:widowControl/>
              <w:numPr>
                <w:ilvl w:val="0"/>
                <w:numId w:val="6"/>
              </w:numPr>
              <w:ind w:leftChars="0"/>
              <w:rPr>
                <w:rFonts w:ascii="Times New Roman" w:eastAsia="標楷體" w:hAnsi="Times New Roman"/>
                <w:b/>
              </w:rPr>
            </w:pPr>
            <w:r w:rsidRPr="0001660E">
              <w:rPr>
                <w:rFonts w:ascii="Times New Roman" w:eastAsia="標楷體"/>
                <w:b/>
                <w:bCs/>
                <w:color w:val="000000" w:themeColor="text1"/>
                <w:kern w:val="36"/>
                <w:lang w:bidi="hi-IN"/>
              </w:rPr>
              <w:t>Axitinib</w:t>
            </w:r>
          </w:p>
        </w:tc>
      </w:tr>
      <w:tr w:rsidR="00DF2AEC" w:rsidRPr="00023B86" w:rsidTr="00E1272F">
        <w:tc>
          <w:tcPr>
            <w:tcW w:w="970" w:type="dxa"/>
            <w:vAlign w:val="center"/>
          </w:tcPr>
          <w:p w:rsidR="00DF2AEC" w:rsidRPr="00386048" w:rsidRDefault="00DF2AEC" w:rsidP="00E1272F">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Pr>
          <w:p w:rsidR="00DF2AEC" w:rsidRPr="00023B86" w:rsidRDefault="00DF2AEC" w:rsidP="00E1272F">
            <w:pPr>
              <w:widowControl/>
              <w:rPr>
                <w:rFonts w:ascii="Times New Roman" w:eastAsia="標楷體" w:hAnsi="Times New Roman"/>
              </w:rPr>
            </w:pPr>
            <w:r w:rsidRPr="00AF5EF5">
              <w:rPr>
                <w:rFonts w:ascii="Times New Roman" w:eastAsia="標楷體" w:hAnsi="Times New Roman"/>
              </w:rPr>
              <w:t>Axitinib</w:t>
            </w:r>
            <w:r w:rsidRPr="00AF5EF5">
              <w:rPr>
                <w:rFonts w:ascii="Times New Roman" w:eastAsia="標楷體" w:hAnsi="Times New Roman"/>
              </w:rPr>
              <w:t>在治療血漿濃度下可抑制酪胺酸激</w:t>
            </w:r>
            <w:r w:rsidRPr="0058462B">
              <w:rPr>
                <w:rFonts w:ascii="Times New Roman" w:eastAsia="標楷體" w:hAnsi="Times New Roman"/>
              </w:rPr>
              <w:t>酶</w:t>
            </w:r>
            <w:r w:rsidRPr="00AF5EF5">
              <w:rPr>
                <w:rFonts w:ascii="Times New Roman" w:eastAsia="標楷體" w:hAnsi="Times New Roman"/>
              </w:rPr>
              <w:t>，包括血管內皮生長因子接受體</w:t>
            </w:r>
            <w:r w:rsidRPr="00AF5EF5">
              <w:rPr>
                <w:rFonts w:ascii="Times New Roman" w:eastAsia="標楷體" w:hAnsi="Times New Roman"/>
              </w:rPr>
              <w:t>(VEGFR)-1</w:t>
            </w:r>
            <w:r w:rsidRPr="00AF5EF5">
              <w:rPr>
                <w:rFonts w:ascii="Times New Roman" w:eastAsia="標楷體" w:hAnsi="Times New Roman"/>
              </w:rPr>
              <w:t>、</w:t>
            </w:r>
            <w:r w:rsidRPr="00AF5EF5">
              <w:rPr>
                <w:rFonts w:ascii="Times New Roman" w:eastAsia="標楷體" w:hAnsi="Times New Roman"/>
              </w:rPr>
              <w:t>VEGFR-2</w:t>
            </w:r>
            <w:r w:rsidRPr="00AF5EF5">
              <w:rPr>
                <w:rFonts w:ascii="Times New Roman" w:eastAsia="標楷體" w:hAnsi="Times New Roman"/>
              </w:rPr>
              <w:t>及</w:t>
            </w:r>
            <w:r w:rsidRPr="00AF5EF5">
              <w:rPr>
                <w:rFonts w:ascii="Times New Roman" w:eastAsia="標楷體" w:hAnsi="Times New Roman"/>
              </w:rPr>
              <w:t>VEGFR-3</w:t>
            </w:r>
            <w:r w:rsidRPr="00AF5EF5">
              <w:rPr>
                <w:rFonts w:ascii="Times New Roman" w:eastAsia="標楷體" w:hAnsi="Times New Roman"/>
              </w:rPr>
              <w:t>的作用。這些接受體都和病理性血管新生、腫瘤生長及癌症進展有關。體外及老鼠試驗已證實</w:t>
            </w:r>
            <w:r>
              <w:rPr>
                <w:rFonts w:ascii="Times New Roman" w:eastAsia="標楷體" w:hAnsi="Times New Roman"/>
              </w:rPr>
              <w:t>a</w:t>
            </w:r>
            <w:r w:rsidRPr="00AF5EF5">
              <w:rPr>
                <w:rFonts w:ascii="Times New Roman" w:eastAsia="標楷體" w:hAnsi="Times New Roman"/>
              </w:rPr>
              <w:t>xitinib</w:t>
            </w:r>
            <w:r w:rsidRPr="00AF5EF5">
              <w:rPr>
                <w:rFonts w:ascii="Times New Roman" w:eastAsia="標楷體" w:hAnsi="Times New Roman"/>
              </w:rPr>
              <w:t>可抑制</w:t>
            </w:r>
            <w:r w:rsidRPr="00AF5EF5">
              <w:rPr>
                <w:rFonts w:ascii="Times New Roman" w:eastAsia="標楷體" w:hAnsi="Times New Roman"/>
              </w:rPr>
              <w:t>VEGF</w:t>
            </w:r>
            <w:r w:rsidRPr="00AF5EF5">
              <w:rPr>
                <w:rFonts w:ascii="Times New Roman" w:eastAsia="標楷體" w:hAnsi="Times New Roman"/>
              </w:rPr>
              <w:t>所媒介的內皮細胞增生與存活的作用。在異種移植腫瘤的老鼠試驗中，</w:t>
            </w:r>
            <w:r w:rsidRPr="00AF5EF5">
              <w:rPr>
                <w:rFonts w:ascii="Times New Roman" w:eastAsia="標楷體" w:hAnsi="Times New Roman"/>
              </w:rPr>
              <w:t>axitinib</w:t>
            </w:r>
            <w:r w:rsidRPr="00AF5EF5">
              <w:rPr>
                <w:rFonts w:ascii="Times New Roman" w:eastAsia="標楷體" w:hAnsi="Times New Roman"/>
              </w:rPr>
              <w:t>可抑制腫瘤生長和</w:t>
            </w:r>
            <w:r w:rsidRPr="00AF5EF5">
              <w:rPr>
                <w:rFonts w:ascii="Times New Roman" w:eastAsia="標楷體" w:hAnsi="Times New Roman"/>
              </w:rPr>
              <w:t>VEGFR-2</w:t>
            </w:r>
            <w:r w:rsidRPr="00AF5EF5">
              <w:rPr>
                <w:rFonts w:ascii="Times New Roman" w:eastAsia="標楷體" w:hAnsi="Times New Roman"/>
              </w:rPr>
              <w:t>的磷酸化作用。</w:t>
            </w:r>
          </w:p>
        </w:tc>
      </w:tr>
      <w:tr w:rsidR="00DF2AEC" w:rsidRPr="00AF5EF5" w:rsidTr="00E1272F">
        <w:tc>
          <w:tcPr>
            <w:tcW w:w="970" w:type="dxa"/>
            <w:tcBorders>
              <w:bottom w:val="single" w:sz="4" w:space="0" w:color="auto"/>
            </w:tcBorders>
            <w:vAlign w:val="center"/>
          </w:tcPr>
          <w:p w:rsidR="00DF2AEC" w:rsidRPr="00386048" w:rsidRDefault="00DF2AEC" w:rsidP="00E1272F">
            <w:pPr>
              <w:widowControl/>
              <w:jc w:val="both"/>
              <w:rPr>
                <w:rFonts w:ascii="Times New Roman" w:eastAsia="標楷體" w:hAnsi="Times New Roman"/>
              </w:rPr>
            </w:pPr>
            <w:r w:rsidRPr="00386048">
              <w:rPr>
                <w:rFonts w:ascii="Times New Roman" w:eastAsia="標楷體" w:hAnsi="Times New Roman"/>
              </w:rPr>
              <w:t>適應症</w:t>
            </w:r>
          </w:p>
        </w:tc>
        <w:tc>
          <w:tcPr>
            <w:tcW w:w="14482" w:type="dxa"/>
            <w:tcBorders>
              <w:bottom w:val="single" w:sz="4" w:space="0" w:color="auto"/>
            </w:tcBorders>
          </w:tcPr>
          <w:p w:rsidR="00DF2AEC" w:rsidRPr="00AF5EF5" w:rsidRDefault="00DF2AEC" w:rsidP="00E1272F">
            <w:pPr>
              <w:widowControl/>
              <w:rPr>
                <w:rFonts w:ascii="Times New Roman" w:eastAsia="標楷體" w:hAnsi="Times New Roman"/>
              </w:rPr>
            </w:pPr>
            <w:r w:rsidRPr="00AF5EF5">
              <w:rPr>
                <w:rFonts w:ascii="Times New Roman" w:eastAsia="標楷體" w:hAnsi="Times New Roman"/>
              </w:rPr>
              <w:t>Axitinib</w:t>
            </w:r>
            <w:r w:rsidRPr="00AF5EF5">
              <w:rPr>
                <w:rFonts w:ascii="Times New Roman" w:eastAsia="標楷體" w:hAnsi="Times New Roman"/>
              </w:rPr>
              <w:t>適用於治療已接受過</w:t>
            </w:r>
            <w:r w:rsidRPr="00AF5EF5">
              <w:rPr>
                <w:rFonts w:ascii="Times New Roman" w:eastAsia="標楷體" w:hAnsi="Times New Roman"/>
              </w:rPr>
              <w:t>sunitinib</w:t>
            </w:r>
            <w:r w:rsidRPr="00AF5EF5">
              <w:rPr>
                <w:rFonts w:ascii="Times New Roman" w:eastAsia="標楷體" w:hAnsi="Times New Roman"/>
              </w:rPr>
              <w:t>或</w:t>
            </w:r>
            <w:r w:rsidRPr="00AF5EF5">
              <w:rPr>
                <w:rFonts w:ascii="Times New Roman" w:eastAsia="標楷體" w:hAnsi="Times New Roman"/>
              </w:rPr>
              <w:t>cytokine</w:t>
            </w:r>
            <w:r w:rsidRPr="00AF5EF5">
              <w:rPr>
                <w:rFonts w:ascii="Times New Roman" w:eastAsia="標楷體" w:hAnsi="Times New Roman"/>
              </w:rPr>
              <w:t>治療失敗的晚期腎細胞癌</w:t>
            </w:r>
            <w:r w:rsidRPr="00AF5EF5">
              <w:rPr>
                <w:rFonts w:ascii="Times New Roman" w:eastAsia="標楷體" w:hAnsi="Times New Roman"/>
              </w:rPr>
              <w:t>(RCC)</w:t>
            </w:r>
            <w:r w:rsidRPr="00AF5EF5">
              <w:rPr>
                <w:rFonts w:ascii="Times New Roman" w:eastAsia="標楷體" w:hAnsi="Times New Roman"/>
              </w:rPr>
              <w:t>病患。</w:t>
            </w:r>
          </w:p>
        </w:tc>
      </w:tr>
      <w:tr w:rsidR="00C7054A" w:rsidRPr="0001660E" w:rsidTr="00E1272F">
        <w:tc>
          <w:tcPr>
            <w:tcW w:w="15452" w:type="dxa"/>
            <w:gridSpan w:val="2"/>
            <w:tcBorders>
              <w:top w:val="nil"/>
              <w:left w:val="nil"/>
              <w:right w:val="nil"/>
            </w:tcBorders>
          </w:tcPr>
          <w:p w:rsidR="00C7054A" w:rsidRPr="0001660E" w:rsidRDefault="00C7054A" w:rsidP="003555E5">
            <w:pPr>
              <w:pStyle w:val="a9"/>
              <w:widowControl/>
              <w:numPr>
                <w:ilvl w:val="0"/>
                <w:numId w:val="6"/>
              </w:numPr>
              <w:ind w:leftChars="0"/>
              <w:rPr>
                <w:rFonts w:ascii="Times New Roman" w:eastAsia="標楷體"/>
                <w:b/>
                <w:bCs/>
                <w:color w:val="000000" w:themeColor="text1"/>
                <w:kern w:val="36"/>
                <w:lang w:bidi="hi-IN"/>
              </w:rPr>
            </w:pPr>
            <w:r w:rsidRPr="0001660E">
              <w:rPr>
                <w:rFonts w:ascii="Times New Roman" w:eastAsia="標楷體"/>
                <w:b/>
                <w:bCs/>
                <w:color w:val="000000" w:themeColor="text1"/>
                <w:kern w:val="36"/>
                <w:lang w:bidi="hi-IN"/>
              </w:rPr>
              <w:t>Sunitinib</w:t>
            </w:r>
          </w:p>
        </w:tc>
      </w:tr>
      <w:tr w:rsidR="00C7054A" w:rsidRPr="00386048" w:rsidTr="00C7054A">
        <w:tc>
          <w:tcPr>
            <w:tcW w:w="970" w:type="dxa"/>
            <w:tcBorders>
              <w:bottom w:val="single" w:sz="4" w:space="0" w:color="auto"/>
            </w:tcBorders>
            <w:vAlign w:val="center"/>
          </w:tcPr>
          <w:p w:rsidR="00C7054A" w:rsidRPr="00386048" w:rsidRDefault="00C7054A" w:rsidP="00E1272F">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Borders>
              <w:bottom w:val="single" w:sz="4" w:space="0" w:color="auto"/>
            </w:tcBorders>
          </w:tcPr>
          <w:p w:rsidR="00C7054A" w:rsidRPr="00386048" w:rsidRDefault="00C7054A" w:rsidP="00E1272F">
            <w:pPr>
              <w:widowControl/>
              <w:rPr>
                <w:rFonts w:ascii="Times New Roman" w:eastAsia="標楷體" w:hAnsi="Times New Roman"/>
              </w:rPr>
            </w:pPr>
            <w:r>
              <w:rPr>
                <w:rFonts w:ascii="Times New Roman" w:eastAsia="標楷體" w:hAnsi="Times New Roman" w:hint="eastAsia"/>
              </w:rPr>
              <w:t>S</w:t>
            </w:r>
            <w:r>
              <w:rPr>
                <w:rFonts w:ascii="Times New Roman" w:eastAsia="標楷體" w:hAnsi="Times New Roman"/>
              </w:rPr>
              <w:t>unitinib</w:t>
            </w:r>
            <w:r>
              <w:rPr>
                <w:rFonts w:ascii="Times New Roman" w:eastAsia="標楷體" w:hAnsi="Times New Roman" w:hint="eastAsia"/>
              </w:rPr>
              <w:t xml:space="preserve"> </w:t>
            </w:r>
            <w:r>
              <w:rPr>
                <w:rFonts w:ascii="Times New Roman" w:eastAsia="標楷體" w:hAnsi="Times New Roman"/>
              </w:rPr>
              <w:t>malate</w:t>
            </w:r>
            <w:r>
              <w:rPr>
                <w:rFonts w:ascii="Times New Roman" w:eastAsia="標楷體" w:hAnsi="Times New Roman" w:hint="eastAsia"/>
              </w:rPr>
              <w:t>是一個小分子，可抑制多種酪胺基酸激酶接受體</w:t>
            </w:r>
            <w:r>
              <w:rPr>
                <w:rFonts w:ascii="Times New Roman" w:eastAsia="標楷體" w:hAnsi="Times New Roman" w:hint="eastAsia"/>
              </w:rPr>
              <w:t>(RTK)</w:t>
            </w:r>
            <w:r>
              <w:rPr>
                <w:rFonts w:ascii="Times New Roman" w:eastAsia="標楷體" w:hAnsi="Times New Roman" w:hint="eastAsia"/>
              </w:rPr>
              <w:t>，其中有些</w:t>
            </w:r>
            <w:r>
              <w:rPr>
                <w:rFonts w:ascii="Times New Roman" w:eastAsia="標楷體" w:hAnsi="Times New Roman" w:hint="eastAsia"/>
              </w:rPr>
              <w:t>RTK</w:t>
            </w:r>
            <w:r>
              <w:rPr>
                <w:rFonts w:ascii="Times New Roman" w:eastAsia="標楷體" w:hAnsi="Times New Roman" w:hint="eastAsia"/>
              </w:rPr>
              <w:t>與腫瘤生長、病理性血管新生、癌細胞轉移有關</w:t>
            </w:r>
            <w:r w:rsidRPr="00386048">
              <w:rPr>
                <w:rFonts w:ascii="Times New Roman" w:eastAsia="標楷體" w:hAnsi="Times New Roman"/>
              </w:rPr>
              <w:t>。</w:t>
            </w:r>
            <w:r>
              <w:rPr>
                <w:rFonts w:ascii="Times New Roman" w:eastAsia="標楷體" w:hAnsi="Times New Roman" w:hint="eastAsia"/>
              </w:rPr>
              <w:t>評估</w:t>
            </w:r>
            <w:r>
              <w:rPr>
                <w:rFonts w:ascii="Times New Roman" w:eastAsia="標楷體" w:hAnsi="Times New Roman" w:hint="eastAsia"/>
              </w:rPr>
              <w:t>s</w:t>
            </w:r>
            <w:r>
              <w:rPr>
                <w:rFonts w:ascii="Times New Roman" w:eastAsia="標楷體" w:hAnsi="Times New Roman"/>
              </w:rPr>
              <w:t>unitinib</w:t>
            </w:r>
            <w:r>
              <w:rPr>
                <w:rFonts w:ascii="Times New Roman" w:eastAsia="標楷體" w:hAnsi="Times New Roman" w:hint="eastAsia"/>
              </w:rPr>
              <w:t>對於多種激酶的抑制活性後發現，它是血小板衍生生長因子接受體</w:t>
            </w:r>
            <w:r w:rsidRPr="00BB6997">
              <w:rPr>
                <w:rFonts w:ascii="Times New Roman" w:eastAsia="標楷體" w:hAnsi="Times New Roman" w:hint="eastAsia"/>
              </w:rPr>
              <w:t>(</w:t>
            </w:r>
            <w:r w:rsidRPr="00BB6997">
              <w:rPr>
                <w:rFonts w:ascii="Times New Roman" w:eastAsia="標楷體" w:hAnsi="Times New Roman"/>
              </w:rPr>
              <w:t>PDGFRα</w:t>
            </w:r>
            <w:r w:rsidRPr="00BB6997">
              <w:rPr>
                <w:rFonts w:ascii="Times New Roman" w:eastAsia="標楷體" w:hAnsi="Times New Roman" w:hint="eastAsia"/>
              </w:rPr>
              <w:t>和</w:t>
            </w:r>
            <w:r w:rsidRPr="00BB6997">
              <w:rPr>
                <w:rFonts w:ascii="Times New Roman" w:eastAsia="標楷體" w:hAnsi="Times New Roman"/>
              </w:rPr>
              <w:t>PDGFRβ</w:t>
            </w:r>
            <w:r w:rsidRPr="00BB6997">
              <w:rPr>
                <w:rFonts w:ascii="Times New Roman" w:eastAsia="標楷體" w:hAnsi="Times New Roman" w:hint="eastAsia"/>
              </w:rPr>
              <w:t>)</w:t>
            </w:r>
            <w:r w:rsidRPr="00BB6997">
              <w:rPr>
                <w:rFonts w:ascii="Times New Roman" w:eastAsia="標楷體" w:hAnsi="Times New Roman" w:hint="eastAsia"/>
              </w:rPr>
              <w:t>、血管內</w:t>
            </w:r>
            <w:r>
              <w:rPr>
                <w:rFonts w:ascii="Times New Roman" w:eastAsia="標楷體" w:hAnsi="Times New Roman" w:hint="eastAsia"/>
              </w:rPr>
              <w:t>皮生長因子接受體</w:t>
            </w:r>
            <w:r>
              <w:rPr>
                <w:rFonts w:ascii="Times New Roman" w:eastAsia="標楷體" w:hAnsi="Times New Roman" w:hint="eastAsia"/>
              </w:rPr>
              <w:t>(</w:t>
            </w:r>
            <w:r w:rsidRPr="001A6264">
              <w:rPr>
                <w:rFonts w:ascii="Times New Roman" w:eastAsia="標楷體" w:hAnsi="Times New Roman"/>
              </w:rPr>
              <w:t>VEGFR1</w:t>
            </w:r>
            <w:r w:rsidRPr="001A6264">
              <w:rPr>
                <w:rFonts w:ascii="Times New Roman" w:eastAsia="標楷體" w:hAnsi="Times New Roman"/>
              </w:rPr>
              <w:t>、</w:t>
            </w:r>
            <w:r>
              <w:rPr>
                <w:rFonts w:ascii="Times New Roman" w:eastAsia="標楷體" w:hAnsi="Times New Roman"/>
              </w:rPr>
              <w:t>VEGFR2</w:t>
            </w:r>
            <w:r w:rsidRPr="001A6264">
              <w:rPr>
                <w:rFonts w:ascii="Times New Roman" w:eastAsia="標楷體" w:hAnsi="Times New Roman"/>
              </w:rPr>
              <w:t>、</w:t>
            </w:r>
            <w:r w:rsidRPr="001A6264">
              <w:rPr>
                <w:rFonts w:ascii="Times New Roman" w:eastAsia="標楷體" w:hAnsi="Times New Roman"/>
              </w:rPr>
              <w:t>VEGFR3</w:t>
            </w:r>
            <w:r>
              <w:rPr>
                <w:rFonts w:ascii="Times New Roman" w:eastAsia="標楷體" w:hAnsi="Times New Roman" w:hint="eastAsia"/>
              </w:rPr>
              <w:t>)</w:t>
            </w:r>
            <w:r>
              <w:rPr>
                <w:rFonts w:ascii="Times New Roman" w:eastAsia="標楷體" w:hAnsi="Times New Roman" w:hint="eastAsia"/>
              </w:rPr>
              <w:t>、幹細胞因子接受體</w:t>
            </w:r>
            <w:r>
              <w:rPr>
                <w:rFonts w:ascii="Times New Roman" w:eastAsia="標楷體" w:hAnsi="Times New Roman" w:hint="eastAsia"/>
              </w:rPr>
              <w:t>(KIT)</w:t>
            </w:r>
            <w:r>
              <w:rPr>
                <w:rFonts w:ascii="Times New Roman" w:eastAsia="標楷體" w:hAnsi="Times New Roman" w:hint="eastAsia"/>
              </w:rPr>
              <w:t>、類</w:t>
            </w:r>
            <w:r>
              <w:rPr>
                <w:rFonts w:ascii="Times New Roman" w:eastAsia="標楷體" w:hAnsi="Times New Roman" w:hint="eastAsia"/>
              </w:rPr>
              <w:t>F</w:t>
            </w:r>
            <w:r>
              <w:rPr>
                <w:rFonts w:ascii="Times New Roman" w:eastAsia="標楷體" w:hAnsi="Times New Roman"/>
              </w:rPr>
              <w:t>ms</w:t>
            </w:r>
            <w:r>
              <w:rPr>
                <w:rFonts w:ascii="Times New Roman" w:eastAsia="標楷體" w:hAnsi="Times New Roman" w:hint="eastAsia"/>
              </w:rPr>
              <w:t>酪胺酸激酶</w:t>
            </w:r>
            <w:r>
              <w:rPr>
                <w:rFonts w:ascii="Times New Roman" w:eastAsia="標楷體" w:hAnsi="Times New Roman" w:hint="eastAsia"/>
              </w:rPr>
              <w:t>-3(</w:t>
            </w:r>
            <w:r>
              <w:rPr>
                <w:rFonts w:ascii="Times New Roman" w:eastAsia="標楷體" w:hAnsi="Times New Roman"/>
              </w:rPr>
              <w:t>Fms-like tyrosine kinase-3, FLT3</w:t>
            </w:r>
            <w:r>
              <w:rPr>
                <w:rFonts w:ascii="Times New Roman" w:eastAsia="標楷體" w:hAnsi="Times New Roman" w:hint="eastAsia"/>
              </w:rPr>
              <w:t>)</w:t>
            </w:r>
            <w:r>
              <w:rPr>
                <w:rFonts w:ascii="Times New Roman" w:eastAsia="標楷體" w:hAnsi="Times New Roman" w:hint="eastAsia"/>
              </w:rPr>
              <w:t>、群落刺激因子接受體第一型</w:t>
            </w:r>
            <w:r>
              <w:rPr>
                <w:rFonts w:ascii="Times New Roman" w:eastAsia="標楷體" w:hAnsi="Times New Roman" w:hint="eastAsia"/>
              </w:rPr>
              <w:t>(</w:t>
            </w:r>
            <w:r>
              <w:rPr>
                <w:rFonts w:ascii="Times New Roman" w:eastAsia="標楷體" w:hAnsi="Times New Roman"/>
              </w:rPr>
              <w:t>CSF-1R</w:t>
            </w:r>
            <w:r>
              <w:rPr>
                <w:rFonts w:ascii="Times New Roman" w:eastAsia="標楷體" w:hAnsi="Times New Roman" w:hint="eastAsia"/>
              </w:rPr>
              <w:t>)</w:t>
            </w:r>
            <w:r>
              <w:rPr>
                <w:rFonts w:ascii="Times New Roman" w:eastAsia="標楷體" w:hAnsi="Times New Roman" w:hint="eastAsia"/>
              </w:rPr>
              <w:t>、以及株化膠細胞衍生神經滋養因子接受體</w:t>
            </w:r>
            <w:r>
              <w:rPr>
                <w:rFonts w:ascii="Times New Roman" w:eastAsia="標楷體" w:hAnsi="Times New Roman" w:hint="eastAsia"/>
              </w:rPr>
              <w:t>(</w:t>
            </w:r>
            <w:r>
              <w:rPr>
                <w:rFonts w:ascii="Times New Roman" w:eastAsia="標楷體" w:hAnsi="Times New Roman"/>
              </w:rPr>
              <w:t>glial cell-line derived neurotrophic factor receptor, RET</w:t>
            </w:r>
            <w:r>
              <w:rPr>
                <w:rFonts w:ascii="Times New Roman" w:eastAsia="標楷體" w:hAnsi="Times New Roman" w:hint="eastAsia"/>
              </w:rPr>
              <w:t>)</w:t>
            </w:r>
            <w:r>
              <w:rPr>
                <w:rFonts w:ascii="Times New Roman" w:eastAsia="標楷體" w:hAnsi="Times New Roman" w:hint="eastAsia"/>
              </w:rPr>
              <w:t>的抑制劑。以生化和細胞分析證實</w:t>
            </w:r>
            <w:r>
              <w:rPr>
                <w:rFonts w:ascii="Times New Roman" w:eastAsia="標楷體" w:hAnsi="Times New Roman" w:hint="eastAsia"/>
              </w:rPr>
              <w:t>s</w:t>
            </w:r>
            <w:r>
              <w:rPr>
                <w:rFonts w:ascii="Times New Roman" w:eastAsia="標楷體" w:hAnsi="Times New Roman"/>
              </w:rPr>
              <w:t>unitinib</w:t>
            </w:r>
            <w:r>
              <w:rPr>
                <w:rFonts w:ascii="Times New Roman" w:eastAsia="標楷體" w:hAnsi="Times New Roman" w:hint="eastAsia"/>
              </w:rPr>
              <w:t>會抑制這些</w:t>
            </w:r>
            <w:r>
              <w:rPr>
                <w:rFonts w:ascii="Times New Roman" w:eastAsia="標楷體" w:hAnsi="Times New Roman" w:hint="eastAsia"/>
              </w:rPr>
              <w:t>RTK</w:t>
            </w:r>
            <w:r>
              <w:rPr>
                <w:rFonts w:ascii="Times New Roman" w:eastAsia="標楷體" w:hAnsi="Times New Roman" w:hint="eastAsia"/>
              </w:rPr>
              <w:t>活性；也以細胞增生分析證實</w:t>
            </w:r>
            <w:r>
              <w:rPr>
                <w:rFonts w:ascii="Times New Roman" w:eastAsia="標楷體" w:hAnsi="Times New Roman" w:hint="eastAsia"/>
              </w:rPr>
              <w:t>s</w:t>
            </w:r>
            <w:r>
              <w:rPr>
                <w:rFonts w:ascii="Times New Roman" w:eastAsia="標楷體" w:hAnsi="Times New Roman"/>
              </w:rPr>
              <w:t>unitinib</w:t>
            </w:r>
            <w:r>
              <w:rPr>
                <w:rFonts w:ascii="Times New Roman" w:eastAsia="標楷體" w:hAnsi="Times New Roman" w:hint="eastAsia"/>
              </w:rPr>
              <w:t>會抑制其功能。其主要代謝產物在生化及細胞分析中的效價與</w:t>
            </w:r>
            <w:r>
              <w:rPr>
                <w:rFonts w:ascii="Times New Roman" w:eastAsia="標楷體" w:hAnsi="Times New Roman" w:hint="eastAsia"/>
              </w:rPr>
              <w:t>s</w:t>
            </w:r>
            <w:r>
              <w:rPr>
                <w:rFonts w:ascii="Times New Roman" w:eastAsia="標楷體" w:hAnsi="Times New Roman"/>
              </w:rPr>
              <w:t>unitinib</w:t>
            </w:r>
            <w:r>
              <w:rPr>
                <w:rFonts w:ascii="Times New Roman" w:eastAsia="標楷體" w:hAnsi="Times New Roman" w:hint="eastAsia"/>
              </w:rPr>
              <w:t>類似。</w:t>
            </w:r>
            <w:r>
              <w:rPr>
                <w:rFonts w:ascii="Times New Roman" w:eastAsia="標楷體" w:hAnsi="Times New Roman" w:hint="eastAsia"/>
              </w:rPr>
              <w:t>S</w:t>
            </w:r>
            <w:r>
              <w:rPr>
                <w:rFonts w:ascii="Times New Roman" w:eastAsia="標楷體" w:hAnsi="Times New Roman"/>
              </w:rPr>
              <w:t>unitinib</w:t>
            </w:r>
            <w:r>
              <w:rPr>
                <w:rFonts w:ascii="Times New Roman" w:eastAsia="標楷體" w:hAnsi="Times New Roman" w:hint="eastAsia"/>
              </w:rPr>
              <w:t>在表現</w:t>
            </w:r>
            <w:r>
              <w:rPr>
                <w:rFonts w:ascii="Times New Roman" w:eastAsia="標楷體" w:hAnsi="Times New Roman" w:hint="eastAsia"/>
              </w:rPr>
              <w:t>RTK</w:t>
            </w:r>
            <w:r>
              <w:rPr>
                <w:rFonts w:ascii="Times New Roman" w:eastAsia="標楷體" w:hAnsi="Times New Roman" w:hint="eastAsia"/>
              </w:rPr>
              <w:t>標靶隻腫瘤異種移植的活體實驗中顯示它能抑制多種</w:t>
            </w:r>
            <w:r>
              <w:rPr>
                <w:rFonts w:ascii="Times New Roman" w:eastAsia="標楷體" w:hAnsi="Times New Roman" w:hint="eastAsia"/>
              </w:rPr>
              <w:t>RTK (</w:t>
            </w:r>
            <w:r w:rsidRPr="00BB6997">
              <w:rPr>
                <w:rFonts w:ascii="Times New Roman" w:eastAsia="標楷體" w:hAnsi="Times New Roman"/>
              </w:rPr>
              <w:t>PDGFRβ</w:t>
            </w:r>
            <w:r>
              <w:rPr>
                <w:rFonts w:ascii="Times New Roman" w:eastAsia="標楷體" w:hAnsi="Times New Roman" w:hint="eastAsia"/>
              </w:rPr>
              <w:t>、</w:t>
            </w:r>
            <w:r>
              <w:rPr>
                <w:rFonts w:ascii="Times New Roman" w:eastAsia="標楷體" w:hAnsi="Times New Roman"/>
              </w:rPr>
              <w:t>VEGFR2</w:t>
            </w:r>
            <w:r>
              <w:rPr>
                <w:rFonts w:ascii="Times New Roman" w:eastAsia="標楷體" w:hAnsi="Times New Roman" w:hint="eastAsia"/>
              </w:rPr>
              <w:t>、</w:t>
            </w:r>
            <w:r>
              <w:rPr>
                <w:rFonts w:ascii="Times New Roman" w:eastAsia="標楷體" w:hAnsi="Times New Roman" w:hint="eastAsia"/>
              </w:rPr>
              <w:t>KIT)</w:t>
            </w:r>
            <w:r>
              <w:rPr>
                <w:rFonts w:ascii="Times New Roman" w:eastAsia="標楷體" w:hAnsi="Times New Roman" w:hint="eastAsia"/>
              </w:rPr>
              <w:t>的磷酸化，也在一些癌症的實驗模型顯示它能直接抑制腫瘤的生長，使腫瘤萎縮且</w:t>
            </w:r>
            <w:r>
              <w:rPr>
                <w:rFonts w:ascii="Times New Roman" w:eastAsia="標楷體" w:hAnsi="Times New Roman" w:hint="eastAsia"/>
              </w:rPr>
              <w:t>/</w:t>
            </w:r>
            <w:r>
              <w:rPr>
                <w:rFonts w:ascii="Times New Roman" w:eastAsia="標楷體" w:hAnsi="Times New Roman" w:hint="eastAsia"/>
              </w:rPr>
              <w:t>或抑制轉移的進展。體外實驗顯示</w:t>
            </w:r>
            <w:r>
              <w:rPr>
                <w:rFonts w:ascii="Times New Roman" w:eastAsia="標楷體" w:hAnsi="Times New Roman" w:hint="eastAsia"/>
              </w:rPr>
              <w:t>s</w:t>
            </w:r>
            <w:r>
              <w:rPr>
                <w:rFonts w:ascii="Times New Roman" w:eastAsia="標楷體" w:hAnsi="Times New Roman"/>
              </w:rPr>
              <w:t>unitinib</w:t>
            </w:r>
            <w:r>
              <w:rPr>
                <w:rFonts w:ascii="Times New Roman" w:eastAsia="標楷體" w:hAnsi="Times New Roman" w:hint="eastAsia"/>
              </w:rPr>
              <w:t>能抑制表現調節不良之標靶</w:t>
            </w:r>
            <w:r>
              <w:rPr>
                <w:rFonts w:ascii="Times New Roman" w:eastAsia="標楷體" w:hAnsi="Times New Roman" w:hint="eastAsia"/>
              </w:rPr>
              <w:t>RTK(</w:t>
            </w:r>
            <w:r w:rsidRPr="00BB6997">
              <w:rPr>
                <w:rFonts w:ascii="Times New Roman" w:eastAsia="標楷體" w:hAnsi="Times New Roman"/>
              </w:rPr>
              <w:t>PDGFR</w:t>
            </w:r>
            <w:r>
              <w:rPr>
                <w:rFonts w:ascii="Times New Roman" w:eastAsia="標楷體" w:hAnsi="Times New Roman" w:hint="eastAsia"/>
              </w:rPr>
              <w:t>、</w:t>
            </w:r>
            <w:r>
              <w:rPr>
                <w:rFonts w:ascii="Times New Roman" w:eastAsia="標楷體" w:hAnsi="Times New Roman" w:hint="eastAsia"/>
              </w:rPr>
              <w:t>RET</w:t>
            </w:r>
            <w:r>
              <w:rPr>
                <w:rFonts w:ascii="Times New Roman" w:eastAsia="標楷體" w:hAnsi="Times New Roman" w:hint="eastAsia"/>
              </w:rPr>
              <w:t>、</w:t>
            </w:r>
            <w:r>
              <w:rPr>
                <w:rFonts w:ascii="Times New Roman" w:eastAsia="標楷體" w:hAnsi="Times New Roman" w:hint="eastAsia"/>
              </w:rPr>
              <w:t>KIT)</w:t>
            </w:r>
            <w:r>
              <w:rPr>
                <w:rFonts w:ascii="Times New Roman" w:eastAsia="標楷體" w:hAnsi="Times New Roman" w:hint="eastAsia"/>
              </w:rPr>
              <w:t>的腫瘤細胞生長，活體試驗也顯示它能抑制對</w:t>
            </w:r>
            <w:r w:rsidRPr="00BB6997">
              <w:rPr>
                <w:rFonts w:ascii="Times New Roman" w:eastAsia="標楷體" w:hAnsi="Times New Roman"/>
              </w:rPr>
              <w:t>PDGFRβ</w:t>
            </w:r>
            <w:r>
              <w:rPr>
                <w:rFonts w:ascii="Times New Roman" w:eastAsia="標楷體" w:hAnsi="Times New Roman" w:hint="eastAsia"/>
              </w:rPr>
              <w:t>和</w:t>
            </w:r>
            <w:r>
              <w:rPr>
                <w:rFonts w:ascii="Times New Roman" w:eastAsia="標楷體" w:hAnsi="Times New Roman"/>
              </w:rPr>
              <w:t>VEGFR2</w:t>
            </w:r>
            <w:r>
              <w:rPr>
                <w:rFonts w:ascii="Times New Roman" w:eastAsia="標楷體" w:hAnsi="Times New Roman" w:hint="eastAsia"/>
              </w:rPr>
              <w:t>有依賴性的腫瘤血管生成。</w:t>
            </w:r>
          </w:p>
        </w:tc>
      </w:tr>
      <w:tr w:rsidR="00C7054A" w:rsidRPr="001A6264" w:rsidTr="00C7054A">
        <w:tc>
          <w:tcPr>
            <w:tcW w:w="970" w:type="dxa"/>
            <w:tcBorders>
              <w:bottom w:val="single" w:sz="4" w:space="0" w:color="auto"/>
            </w:tcBorders>
            <w:vAlign w:val="center"/>
          </w:tcPr>
          <w:p w:rsidR="00C7054A" w:rsidRPr="00386048" w:rsidRDefault="00C7054A" w:rsidP="00E1272F">
            <w:pPr>
              <w:widowControl/>
              <w:jc w:val="both"/>
              <w:rPr>
                <w:rFonts w:ascii="Times New Roman" w:eastAsia="標楷體" w:hAnsi="Times New Roman"/>
              </w:rPr>
            </w:pPr>
            <w:r w:rsidRPr="00386048">
              <w:rPr>
                <w:rFonts w:ascii="Times New Roman" w:eastAsia="標楷體" w:hAnsi="Times New Roman"/>
              </w:rPr>
              <w:t>適應症</w:t>
            </w:r>
          </w:p>
        </w:tc>
        <w:tc>
          <w:tcPr>
            <w:tcW w:w="14482" w:type="dxa"/>
            <w:tcBorders>
              <w:bottom w:val="single" w:sz="4" w:space="0" w:color="auto"/>
            </w:tcBorders>
          </w:tcPr>
          <w:p w:rsidR="00C7054A" w:rsidRDefault="00C7054A" w:rsidP="003555E5">
            <w:pPr>
              <w:pStyle w:val="a9"/>
              <w:widowControl/>
              <w:numPr>
                <w:ilvl w:val="0"/>
                <w:numId w:val="14"/>
              </w:numPr>
              <w:ind w:leftChars="0"/>
              <w:rPr>
                <w:rFonts w:ascii="Times New Roman" w:eastAsia="標楷體" w:hAnsi="Times New Roman"/>
              </w:rPr>
            </w:pPr>
            <w:r w:rsidRPr="001A6264">
              <w:rPr>
                <w:rFonts w:ascii="Times New Roman" w:eastAsia="標楷體" w:hAnsi="Times New Roman"/>
              </w:rPr>
              <w:t>腸胃道間質腫瘤</w:t>
            </w:r>
            <w:r w:rsidRPr="001A6264">
              <w:rPr>
                <w:rFonts w:ascii="Times New Roman" w:eastAsia="標楷體" w:hAnsi="Times New Roman"/>
              </w:rPr>
              <w:t>(GIST)</w:t>
            </w:r>
            <w:r>
              <w:rPr>
                <w:rFonts w:ascii="Times New Roman" w:eastAsia="標楷體" w:hAnsi="Times New Roman" w:hint="eastAsia"/>
              </w:rPr>
              <w:t>：</w:t>
            </w:r>
            <w:r w:rsidRPr="001A6264">
              <w:rPr>
                <w:rFonts w:ascii="Times New Roman" w:eastAsia="標楷體" w:hAnsi="Times New Roman"/>
              </w:rPr>
              <w:t>Sunitinib</w:t>
            </w:r>
            <w:r w:rsidRPr="001A6264">
              <w:rPr>
                <w:rFonts w:ascii="Times New Roman" w:eastAsia="標楷體" w:hAnsi="Times New Roman"/>
              </w:rPr>
              <w:t>適用於</w:t>
            </w:r>
            <w:r w:rsidRPr="001A6264">
              <w:rPr>
                <w:rFonts w:ascii="Times New Roman" w:eastAsia="標楷體" w:hAnsi="Times New Roman"/>
              </w:rPr>
              <w:t>imatinib mesylate</w:t>
            </w:r>
            <w:r w:rsidRPr="001A6264">
              <w:rPr>
                <w:rFonts w:ascii="Times New Roman" w:eastAsia="標楷體" w:hAnsi="Times New Roman"/>
              </w:rPr>
              <w:t>治療期間出現疾病惡化或對該藥出現不能忍受之腸胃道間質腫瘤</w:t>
            </w:r>
            <w:r w:rsidRPr="001A6264">
              <w:rPr>
                <w:rFonts w:ascii="Times New Roman" w:eastAsia="標楷體" w:hAnsi="Times New Roman"/>
              </w:rPr>
              <w:t>(GIST)</w:t>
            </w:r>
            <w:r w:rsidRPr="009D69A8">
              <w:rPr>
                <w:rFonts w:ascii="Times New Roman" w:eastAsia="標楷體" w:hAnsi="Times New Roman" w:hint="eastAsia"/>
              </w:rPr>
              <w:t>。</w:t>
            </w:r>
          </w:p>
          <w:p w:rsidR="00C7054A" w:rsidRDefault="00C7054A" w:rsidP="003555E5">
            <w:pPr>
              <w:pStyle w:val="a9"/>
              <w:widowControl/>
              <w:numPr>
                <w:ilvl w:val="0"/>
                <w:numId w:val="14"/>
              </w:numPr>
              <w:ind w:leftChars="0"/>
              <w:rPr>
                <w:rFonts w:ascii="Times New Roman" w:eastAsia="標楷體" w:hAnsi="Times New Roman"/>
              </w:rPr>
            </w:pPr>
            <w:r w:rsidRPr="001A6264">
              <w:rPr>
                <w:rFonts w:ascii="Times New Roman" w:eastAsia="標楷體" w:hAnsi="Times New Roman"/>
              </w:rPr>
              <w:t>晚期腎細胞癌</w:t>
            </w:r>
            <w:r w:rsidRPr="001A6264">
              <w:rPr>
                <w:rFonts w:ascii="Times New Roman" w:eastAsia="標楷體" w:hAnsi="Times New Roman"/>
              </w:rPr>
              <w:t>(RCC)</w:t>
            </w:r>
            <w:r>
              <w:rPr>
                <w:rFonts w:ascii="Times New Roman" w:eastAsia="標楷體" w:hAnsi="Times New Roman" w:hint="eastAsia"/>
              </w:rPr>
              <w:t>：</w:t>
            </w:r>
            <w:r w:rsidRPr="001A6264">
              <w:rPr>
                <w:rFonts w:ascii="Times New Roman" w:eastAsia="標楷體" w:hAnsi="Times New Roman"/>
              </w:rPr>
              <w:t>Sunitinib</w:t>
            </w:r>
            <w:r w:rsidRPr="001A6264">
              <w:rPr>
                <w:rFonts w:ascii="Times New Roman" w:eastAsia="標楷體" w:hAnsi="Times New Roman"/>
              </w:rPr>
              <w:t>適用於治療晚期或轉移性腎細胞癌</w:t>
            </w:r>
            <w:r w:rsidRPr="001A6264">
              <w:rPr>
                <w:rFonts w:ascii="Times New Roman" w:eastAsia="標楷體" w:hAnsi="Times New Roman"/>
              </w:rPr>
              <w:t>[</w:t>
            </w:r>
            <w:r w:rsidRPr="001A6264">
              <w:rPr>
                <w:rFonts w:ascii="Times New Roman" w:eastAsia="標楷體" w:hAnsi="Times New Roman"/>
              </w:rPr>
              <w:t>病理上為亮細胞癌</w:t>
            </w:r>
            <w:r w:rsidRPr="001A6264">
              <w:rPr>
                <w:rFonts w:ascii="Times New Roman" w:eastAsia="標楷體" w:hAnsi="Times New Roman"/>
              </w:rPr>
              <w:t>(clear cell carcinoma)]</w:t>
            </w:r>
            <w:r w:rsidR="00C71277" w:rsidRPr="001A6264">
              <w:rPr>
                <w:rFonts w:ascii="Times New Roman" w:eastAsia="標楷體" w:hAnsi="Times New Roman"/>
              </w:rPr>
              <w:t>。</w:t>
            </w:r>
          </w:p>
          <w:p w:rsidR="00C7054A" w:rsidRPr="001A6264" w:rsidRDefault="00C7054A" w:rsidP="003555E5">
            <w:pPr>
              <w:pStyle w:val="a9"/>
              <w:widowControl/>
              <w:numPr>
                <w:ilvl w:val="0"/>
                <w:numId w:val="14"/>
              </w:numPr>
              <w:ind w:leftChars="0"/>
              <w:rPr>
                <w:rFonts w:ascii="Times New Roman" w:eastAsia="標楷體" w:hAnsi="Times New Roman"/>
              </w:rPr>
            </w:pPr>
            <w:r w:rsidRPr="001A6264">
              <w:rPr>
                <w:rFonts w:ascii="Times New Roman" w:eastAsia="標楷體" w:hAnsi="Times New Roman"/>
              </w:rPr>
              <w:t>胰臟神經內分泌腫瘤</w:t>
            </w:r>
            <w:r w:rsidRPr="001A6264">
              <w:rPr>
                <w:rFonts w:ascii="Times New Roman" w:eastAsia="標楷體" w:hAnsi="Times New Roman"/>
              </w:rPr>
              <w:t>(pNET)</w:t>
            </w:r>
            <w:r>
              <w:rPr>
                <w:rFonts w:ascii="Times New Roman" w:eastAsia="標楷體" w:hAnsi="Times New Roman" w:hint="eastAsia"/>
              </w:rPr>
              <w:t>：</w:t>
            </w:r>
            <w:r w:rsidRPr="001A6264">
              <w:rPr>
                <w:rFonts w:ascii="Times New Roman" w:eastAsia="標楷體" w:hAnsi="Times New Roman"/>
              </w:rPr>
              <w:t>Sunitinib</w:t>
            </w:r>
            <w:r w:rsidRPr="001A6264">
              <w:rPr>
                <w:rFonts w:ascii="Times New Roman" w:eastAsia="標楷體" w:hAnsi="Times New Roman"/>
              </w:rPr>
              <w:t>適用於進展性，無法切除或轉移性分化良好之胰臟神經內分泌腫瘤的成人病人。</w:t>
            </w:r>
          </w:p>
          <w:p w:rsidR="00C7054A" w:rsidRPr="001A6264" w:rsidRDefault="00C7054A" w:rsidP="003555E5">
            <w:pPr>
              <w:pStyle w:val="a9"/>
              <w:widowControl/>
              <w:numPr>
                <w:ilvl w:val="0"/>
                <w:numId w:val="14"/>
              </w:numPr>
              <w:ind w:leftChars="0"/>
              <w:rPr>
                <w:rFonts w:ascii="Times New Roman" w:eastAsia="標楷體" w:hAnsi="Times New Roman"/>
              </w:rPr>
            </w:pPr>
            <w:r w:rsidRPr="001A6264">
              <w:rPr>
                <w:rFonts w:ascii="Times New Roman" w:eastAsia="標楷體" w:hAnsi="Times New Roman"/>
              </w:rPr>
              <w:lastRenderedPageBreak/>
              <w:t>腎細胞癌輔助治療</w:t>
            </w:r>
            <w:r>
              <w:rPr>
                <w:rFonts w:ascii="Times New Roman" w:eastAsia="標楷體" w:hAnsi="Times New Roman" w:hint="eastAsia"/>
              </w:rPr>
              <w:t>：</w:t>
            </w:r>
            <w:r w:rsidRPr="001A6264">
              <w:rPr>
                <w:rFonts w:ascii="Times New Roman" w:eastAsia="標楷體" w:hAnsi="Times New Roman"/>
              </w:rPr>
              <w:t>Sunitinib</w:t>
            </w:r>
            <w:r w:rsidRPr="001A6264">
              <w:rPr>
                <w:rFonts w:ascii="Times New Roman" w:eastAsia="標楷體" w:hAnsi="Times New Roman"/>
              </w:rPr>
              <w:t>適用於高復發風險腎細胞癌的成人病人腎切除後的輔助治療。</w:t>
            </w:r>
          </w:p>
        </w:tc>
      </w:tr>
      <w:tr w:rsidR="00C7054A" w:rsidRPr="0001660E" w:rsidTr="00C7054A">
        <w:tc>
          <w:tcPr>
            <w:tcW w:w="15452" w:type="dxa"/>
            <w:gridSpan w:val="2"/>
            <w:tcBorders>
              <w:top w:val="nil"/>
              <w:left w:val="nil"/>
              <w:right w:val="nil"/>
            </w:tcBorders>
          </w:tcPr>
          <w:p w:rsidR="00C7054A" w:rsidRPr="0001660E" w:rsidRDefault="00C7054A" w:rsidP="003555E5">
            <w:pPr>
              <w:pStyle w:val="a9"/>
              <w:widowControl/>
              <w:numPr>
                <w:ilvl w:val="0"/>
                <w:numId w:val="6"/>
              </w:numPr>
              <w:ind w:leftChars="0"/>
              <w:rPr>
                <w:rFonts w:ascii="Times New Roman" w:eastAsia="標楷體"/>
                <w:b/>
                <w:bCs/>
                <w:color w:val="000000" w:themeColor="text1"/>
                <w:kern w:val="36"/>
                <w:lang w:bidi="hi-IN"/>
              </w:rPr>
            </w:pPr>
            <w:r w:rsidRPr="0001660E">
              <w:rPr>
                <w:rFonts w:ascii="Times New Roman" w:eastAsia="標楷體"/>
                <w:b/>
                <w:bCs/>
                <w:color w:val="000000" w:themeColor="text1"/>
                <w:kern w:val="36"/>
                <w:lang w:bidi="hi-IN"/>
              </w:rPr>
              <w:lastRenderedPageBreak/>
              <w:t>Pazopanib</w:t>
            </w:r>
          </w:p>
        </w:tc>
      </w:tr>
      <w:tr w:rsidR="00C7054A" w:rsidRPr="00E87732" w:rsidTr="00C7054A">
        <w:tc>
          <w:tcPr>
            <w:tcW w:w="970" w:type="dxa"/>
            <w:tcBorders>
              <w:bottom w:val="single" w:sz="4" w:space="0" w:color="auto"/>
            </w:tcBorders>
            <w:vAlign w:val="center"/>
          </w:tcPr>
          <w:p w:rsidR="00C7054A" w:rsidRPr="00386048" w:rsidRDefault="00C7054A" w:rsidP="00E1272F">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Borders>
              <w:bottom w:val="single" w:sz="4" w:space="0" w:color="auto"/>
            </w:tcBorders>
          </w:tcPr>
          <w:p w:rsidR="00C7054A" w:rsidRPr="00E87732" w:rsidRDefault="00C7054A" w:rsidP="00E1272F">
            <w:pPr>
              <w:widowControl/>
              <w:rPr>
                <w:rFonts w:ascii="Times New Roman" w:eastAsia="標楷體" w:hAnsi="Times New Roman"/>
              </w:rPr>
            </w:pPr>
            <w:r>
              <w:rPr>
                <w:rFonts w:ascii="Times New Roman" w:eastAsia="標楷體" w:hAnsi="Times New Roman"/>
              </w:rPr>
              <w:t>Pazopanib</w:t>
            </w:r>
            <w:r w:rsidRPr="00E87732">
              <w:rPr>
                <w:rFonts w:ascii="Times New Roman" w:eastAsia="標楷體" w:hAnsi="Times New Roman"/>
              </w:rPr>
              <w:t>是一種多重酪胺酸酶抑制劑，作用目標包含血管內皮生長因子受體</w:t>
            </w:r>
            <w:r w:rsidRPr="00E87732">
              <w:rPr>
                <w:rFonts w:ascii="Times New Roman" w:eastAsia="標楷體" w:hAnsi="Times New Roman"/>
              </w:rPr>
              <w:t>(vascular endothelial growth factor receptor) VEGFR-1</w:t>
            </w:r>
            <w:r w:rsidRPr="00E87732">
              <w:rPr>
                <w:rFonts w:ascii="Times New Roman" w:eastAsia="標楷體" w:hAnsi="Times New Roman"/>
              </w:rPr>
              <w:t>、</w:t>
            </w:r>
            <w:r w:rsidRPr="00E87732">
              <w:rPr>
                <w:rFonts w:ascii="Times New Roman" w:eastAsia="標楷體" w:hAnsi="Times New Roman"/>
              </w:rPr>
              <w:t>VEGFR -2</w:t>
            </w:r>
            <w:r w:rsidRPr="00E87732">
              <w:rPr>
                <w:rFonts w:ascii="Times New Roman" w:eastAsia="標楷體" w:hAnsi="Times New Roman"/>
              </w:rPr>
              <w:t>、</w:t>
            </w:r>
            <w:r w:rsidRPr="00E87732">
              <w:rPr>
                <w:rFonts w:ascii="Times New Roman" w:eastAsia="標楷體" w:hAnsi="Times New Roman"/>
              </w:rPr>
              <w:t>VEGFR -3</w:t>
            </w:r>
            <w:r w:rsidRPr="00E87732">
              <w:rPr>
                <w:rFonts w:ascii="Times New Roman" w:eastAsia="標楷體" w:hAnsi="Times New Roman"/>
              </w:rPr>
              <w:t>，血小板衍生生長因子受體</w:t>
            </w:r>
            <w:r w:rsidRPr="00E87732">
              <w:rPr>
                <w:rFonts w:ascii="Times New Roman" w:eastAsia="標楷體" w:hAnsi="Times New Roman"/>
              </w:rPr>
              <w:t xml:space="preserve"> (platelet-derived </w:t>
            </w:r>
            <w:r>
              <w:rPr>
                <w:rFonts w:ascii="Times New Roman" w:eastAsia="標楷體" w:hAnsi="Times New Roman"/>
              </w:rPr>
              <w:t>growth factor receptor) PDGFR-α</w:t>
            </w:r>
            <w:r w:rsidRPr="00E87732">
              <w:rPr>
                <w:rFonts w:ascii="Times New Roman" w:eastAsia="標楷體" w:hAnsi="Times New Roman"/>
              </w:rPr>
              <w:t>與</w:t>
            </w:r>
            <w:r w:rsidRPr="00E87732">
              <w:rPr>
                <w:rFonts w:ascii="Times New Roman" w:eastAsia="標楷體" w:hAnsi="Times New Roman"/>
              </w:rPr>
              <w:t>-β</w:t>
            </w:r>
            <w:r w:rsidRPr="00E87732">
              <w:rPr>
                <w:rFonts w:ascii="Times New Roman" w:eastAsia="標楷體" w:hAnsi="Times New Roman"/>
              </w:rPr>
              <w:t>，纖維母細胞生長因子受體</w:t>
            </w:r>
            <w:r w:rsidRPr="00E87732">
              <w:rPr>
                <w:rFonts w:ascii="Times New Roman" w:eastAsia="標楷體" w:hAnsi="Times New Roman"/>
              </w:rPr>
              <w:t>(fibroblast</w:t>
            </w:r>
            <w:r>
              <w:rPr>
                <w:rFonts w:ascii="Times New Roman" w:eastAsia="標楷體" w:hAnsi="Times New Roman"/>
              </w:rPr>
              <w:t xml:space="preserve"> growth factor receptor) FGFR-1</w:t>
            </w:r>
            <w:r w:rsidRPr="00E87732">
              <w:rPr>
                <w:rFonts w:ascii="Times New Roman" w:eastAsia="標楷體" w:hAnsi="Times New Roman"/>
              </w:rPr>
              <w:t>與</w:t>
            </w:r>
            <w:r w:rsidRPr="00E87732">
              <w:rPr>
                <w:rFonts w:ascii="Times New Roman" w:eastAsia="標楷體" w:hAnsi="Times New Roman"/>
              </w:rPr>
              <w:t>-3</w:t>
            </w:r>
            <w:r w:rsidRPr="00E87732">
              <w:rPr>
                <w:rFonts w:ascii="Times New Roman" w:eastAsia="標楷體" w:hAnsi="Times New Roman"/>
              </w:rPr>
              <w:t>，細胞激素受體</w:t>
            </w:r>
            <w:r w:rsidRPr="00E87732">
              <w:rPr>
                <w:rFonts w:ascii="Times New Roman" w:eastAsia="標楷體" w:hAnsi="Times New Roman"/>
              </w:rPr>
              <w:t>(cytokine</w:t>
            </w:r>
            <w:r>
              <w:rPr>
                <w:rFonts w:ascii="Times New Roman" w:eastAsia="標楷體" w:hAnsi="Times New Roman"/>
              </w:rPr>
              <w:t xml:space="preserve"> receptor) </w:t>
            </w:r>
            <w:r>
              <w:rPr>
                <w:rFonts w:ascii="Times New Roman" w:eastAsia="標楷體" w:hAnsi="Times New Roman" w:hint="eastAsia"/>
              </w:rPr>
              <w:t>KIT</w:t>
            </w:r>
            <w:r w:rsidRPr="00E87732">
              <w:rPr>
                <w:rFonts w:ascii="Times New Roman" w:eastAsia="標楷體" w:hAnsi="Times New Roman"/>
              </w:rPr>
              <w:t>，第二型介白素受體誘導</w:t>
            </w:r>
            <w:r>
              <w:rPr>
                <w:rFonts w:ascii="Times New Roman" w:eastAsia="標楷體" w:hAnsi="Times New Roman"/>
              </w:rPr>
              <w:t>T</w:t>
            </w:r>
            <w:r w:rsidRPr="00E87732">
              <w:rPr>
                <w:rFonts w:ascii="Times New Roman" w:eastAsia="標楷體" w:hAnsi="Times New Roman"/>
              </w:rPr>
              <w:t>細胞激酶</w:t>
            </w:r>
            <w:r w:rsidRPr="00E87732">
              <w:rPr>
                <w:rFonts w:ascii="Times New Roman" w:eastAsia="標楷體" w:hAnsi="Times New Roman"/>
              </w:rPr>
              <w:t>(interleukin-2 receptor inducible T-cell kinase</w:t>
            </w:r>
            <w:r>
              <w:rPr>
                <w:rFonts w:ascii="Times New Roman" w:eastAsia="標楷體" w:hAnsi="Times New Roman"/>
              </w:rPr>
              <w:t>, ITK)</w:t>
            </w:r>
            <w:r w:rsidRPr="00E87732">
              <w:rPr>
                <w:rFonts w:ascii="Times New Roman" w:eastAsia="標楷體" w:hAnsi="Times New Roman"/>
              </w:rPr>
              <w:t>，白血球特定蛋白質酪胺酸酶</w:t>
            </w:r>
            <w:r w:rsidRPr="00E87732">
              <w:rPr>
                <w:rFonts w:ascii="Times New Roman" w:eastAsia="標楷體" w:hAnsi="Times New Roman"/>
              </w:rPr>
              <w:t>(leukocyte-specific protein tyrosine kinase</w:t>
            </w:r>
            <w:r>
              <w:rPr>
                <w:rFonts w:ascii="Times New Roman" w:eastAsia="標楷體" w:hAnsi="Times New Roman"/>
              </w:rPr>
              <w:t>, LCK)</w:t>
            </w:r>
            <w:r w:rsidRPr="00E87732">
              <w:rPr>
                <w:rFonts w:ascii="Times New Roman" w:eastAsia="標楷體" w:hAnsi="Times New Roman"/>
              </w:rPr>
              <w:t>，以及穿膜醣蛋白受體酪胺酸酶</w:t>
            </w:r>
            <w:r w:rsidRPr="00E87732">
              <w:rPr>
                <w:rFonts w:ascii="Times New Roman" w:eastAsia="標楷體" w:hAnsi="Times New Roman"/>
              </w:rPr>
              <w:t>(transmembrane glycopro</w:t>
            </w:r>
            <w:r>
              <w:rPr>
                <w:rFonts w:ascii="Times New Roman" w:eastAsia="標楷體" w:hAnsi="Times New Roman"/>
              </w:rPr>
              <w:t xml:space="preserve">tein receptor tyrosine kinase, </w:t>
            </w:r>
            <w:r w:rsidRPr="00E87732">
              <w:rPr>
                <w:rFonts w:ascii="Times New Roman" w:eastAsia="標楷體" w:hAnsi="Times New Roman"/>
              </w:rPr>
              <w:t>c-Fms)</w:t>
            </w:r>
            <w:r w:rsidRPr="00E87732">
              <w:rPr>
                <w:rFonts w:ascii="Times New Roman" w:eastAsia="標楷體" w:hAnsi="Times New Roman"/>
              </w:rPr>
              <w:t>。體外試驗發現，</w:t>
            </w:r>
            <w:r w:rsidRPr="00E87732">
              <w:rPr>
                <w:rFonts w:ascii="Times New Roman" w:eastAsia="標楷體" w:hAnsi="Times New Roman"/>
              </w:rPr>
              <w:t xml:space="preserve">pazopanib </w:t>
            </w:r>
            <w:r w:rsidRPr="00E87732">
              <w:rPr>
                <w:rFonts w:ascii="Times New Roman" w:eastAsia="標楷體" w:hAnsi="Times New Roman"/>
              </w:rPr>
              <w:t>可抑制</w:t>
            </w:r>
            <w:r w:rsidRPr="00E87732">
              <w:rPr>
                <w:rFonts w:ascii="Times New Roman" w:eastAsia="標楷體" w:hAnsi="Times New Roman"/>
              </w:rPr>
              <w:t>VEGFR-2</w:t>
            </w:r>
            <w:r w:rsidRPr="00E87732">
              <w:rPr>
                <w:rFonts w:ascii="Times New Roman" w:eastAsia="標楷體" w:hAnsi="Times New Roman"/>
              </w:rPr>
              <w:t>、</w:t>
            </w:r>
            <w:r>
              <w:rPr>
                <w:rFonts w:ascii="Times New Roman" w:eastAsia="標楷體" w:hAnsi="Times New Roman"/>
              </w:rPr>
              <w:t>KIT</w:t>
            </w:r>
            <w:r w:rsidRPr="00E87732">
              <w:rPr>
                <w:rFonts w:ascii="Times New Roman" w:eastAsia="標楷體" w:hAnsi="Times New Roman"/>
              </w:rPr>
              <w:t>與</w:t>
            </w:r>
            <w:r>
              <w:rPr>
                <w:rFonts w:ascii="Times New Roman" w:eastAsia="標楷體" w:hAnsi="Times New Roman"/>
              </w:rPr>
              <w:t xml:space="preserve"> PDGFR-β</w:t>
            </w:r>
            <w:r w:rsidRPr="00E87732">
              <w:rPr>
                <w:rFonts w:ascii="Times New Roman" w:eastAsia="標楷體" w:hAnsi="Times New Roman"/>
              </w:rPr>
              <w:t>受體發生配體誘導的自體磷酸化。體內試驗則顯示，</w:t>
            </w:r>
            <w:r>
              <w:rPr>
                <w:rFonts w:ascii="Times New Roman" w:eastAsia="標楷體" w:hAnsi="Times New Roman"/>
              </w:rPr>
              <w:t>pazopanib</w:t>
            </w:r>
            <w:r w:rsidRPr="00E87732">
              <w:rPr>
                <w:rFonts w:ascii="Times New Roman" w:eastAsia="標楷體" w:hAnsi="Times New Roman"/>
              </w:rPr>
              <w:t>可抑制小鼠肺部內由</w:t>
            </w:r>
            <w:r>
              <w:rPr>
                <w:rFonts w:ascii="Times New Roman" w:eastAsia="標楷體" w:hAnsi="Times New Roman"/>
              </w:rPr>
              <w:t>VEGF</w:t>
            </w:r>
            <w:r w:rsidRPr="00E87732">
              <w:rPr>
                <w:rFonts w:ascii="Times New Roman" w:eastAsia="標楷體" w:hAnsi="Times New Roman"/>
              </w:rPr>
              <w:t>誘導的</w:t>
            </w:r>
            <w:r>
              <w:rPr>
                <w:rFonts w:ascii="Times New Roman" w:eastAsia="標楷體" w:hAnsi="Times New Roman"/>
              </w:rPr>
              <w:t>VEGFR-2</w:t>
            </w:r>
            <w:r w:rsidRPr="00E87732">
              <w:rPr>
                <w:rFonts w:ascii="Times New Roman" w:eastAsia="標楷體" w:hAnsi="Times New Roman"/>
              </w:rPr>
              <w:t>磷酸化、小鼠的血管新生，以及小鼠體內人類腫瘤異體移植的生長。</w:t>
            </w:r>
          </w:p>
        </w:tc>
      </w:tr>
      <w:tr w:rsidR="00C7054A" w:rsidRPr="00E87732" w:rsidTr="00C7054A">
        <w:tc>
          <w:tcPr>
            <w:tcW w:w="970" w:type="dxa"/>
            <w:tcBorders>
              <w:bottom w:val="single" w:sz="4" w:space="0" w:color="auto"/>
            </w:tcBorders>
            <w:vAlign w:val="center"/>
          </w:tcPr>
          <w:p w:rsidR="00C7054A" w:rsidRPr="00386048" w:rsidRDefault="00C7054A" w:rsidP="00E1272F">
            <w:pPr>
              <w:widowControl/>
              <w:jc w:val="both"/>
              <w:rPr>
                <w:rFonts w:ascii="Times New Roman" w:eastAsia="標楷體" w:hAnsi="Times New Roman"/>
              </w:rPr>
            </w:pPr>
            <w:r w:rsidRPr="00386048">
              <w:rPr>
                <w:rFonts w:ascii="Times New Roman" w:eastAsia="標楷體" w:hAnsi="Times New Roman"/>
              </w:rPr>
              <w:t>適應症</w:t>
            </w:r>
          </w:p>
        </w:tc>
        <w:tc>
          <w:tcPr>
            <w:tcW w:w="14482" w:type="dxa"/>
            <w:tcBorders>
              <w:bottom w:val="single" w:sz="4" w:space="0" w:color="auto"/>
            </w:tcBorders>
          </w:tcPr>
          <w:p w:rsidR="00C7054A" w:rsidRDefault="00C7054A" w:rsidP="003555E5">
            <w:pPr>
              <w:pStyle w:val="a9"/>
              <w:widowControl/>
              <w:numPr>
                <w:ilvl w:val="0"/>
                <w:numId w:val="15"/>
              </w:numPr>
              <w:ind w:leftChars="0"/>
              <w:rPr>
                <w:rFonts w:ascii="Times New Roman" w:eastAsia="標楷體" w:hAnsi="Times New Roman"/>
              </w:rPr>
            </w:pPr>
            <w:r w:rsidRPr="00E87732">
              <w:rPr>
                <w:rFonts w:ascii="Times New Roman" w:eastAsia="標楷體" w:hAnsi="Times New Roman"/>
              </w:rPr>
              <w:t>晚期腎細胞癌之第一線治療，或用於已接受細胞激素</w:t>
            </w:r>
            <w:r>
              <w:rPr>
                <w:rFonts w:ascii="Times New Roman" w:eastAsia="標楷體" w:hAnsi="Times New Roman"/>
              </w:rPr>
              <w:t>(cytokine)</w:t>
            </w:r>
            <w:r w:rsidRPr="00E87732">
              <w:rPr>
                <w:rFonts w:ascii="Times New Roman" w:eastAsia="標楷體" w:hAnsi="Times New Roman"/>
              </w:rPr>
              <w:t>治療失敗之晚期腎細胞癌患者。</w:t>
            </w:r>
          </w:p>
          <w:p w:rsidR="00C7054A" w:rsidRPr="00E87732" w:rsidRDefault="00C7054A" w:rsidP="003555E5">
            <w:pPr>
              <w:pStyle w:val="a9"/>
              <w:widowControl/>
              <w:numPr>
                <w:ilvl w:val="0"/>
                <w:numId w:val="15"/>
              </w:numPr>
              <w:ind w:leftChars="0"/>
              <w:rPr>
                <w:rFonts w:ascii="Times New Roman" w:eastAsia="標楷體" w:hAnsi="Times New Roman"/>
              </w:rPr>
            </w:pPr>
            <w:r w:rsidRPr="00E87732">
              <w:rPr>
                <w:rFonts w:ascii="Times New Roman" w:eastAsia="標楷體" w:hAnsi="Times New Roman" w:hint="eastAsia"/>
              </w:rPr>
              <w:t>Pazopanib</w:t>
            </w:r>
            <w:r>
              <w:rPr>
                <w:rFonts w:ascii="Times New Roman" w:eastAsia="標楷體" w:hAnsi="Times New Roman"/>
              </w:rPr>
              <w:t>適用於治療先前曾接受化學治療的晚期軟組織肉瘤</w:t>
            </w:r>
            <w:r>
              <w:rPr>
                <w:rFonts w:ascii="Times New Roman" w:eastAsia="標楷體" w:hAnsi="Times New Roman" w:hint="eastAsia"/>
              </w:rPr>
              <w:t>(</w:t>
            </w:r>
            <w:r w:rsidRPr="00E87732">
              <w:rPr>
                <w:rFonts w:ascii="Times New Roman" w:eastAsia="標楷體" w:hAnsi="Times New Roman"/>
              </w:rPr>
              <w:t>STS</w:t>
            </w:r>
            <w:r>
              <w:rPr>
                <w:rFonts w:ascii="Times New Roman" w:eastAsia="標楷體" w:hAnsi="Times New Roman" w:hint="eastAsia"/>
              </w:rPr>
              <w:t>)</w:t>
            </w:r>
            <w:r>
              <w:rPr>
                <w:rFonts w:ascii="Times New Roman" w:eastAsia="標楷體" w:hAnsi="Times New Roman"/>
              </w:rPr>
              <w:t>患者</w:t>
            </w:r>
            <w:r w:rsidRPr="009D69A8">
              <w:rPr>
                <w:rFonts w:ascii="Times New Roman" w:eastAsia="標楷體" w:hAnsi="Times New Roman" w:hint="eastAsia"/>
              </w:rPr>
              <w:t>。</w:t>
            </w:r>
          </w:p>
        </w:tc>
      </w:tr>
      <w:tr w:rsidR="00DF2AEC" w:rsidRPr="0001660E" w:rsidTr="00DF2AEC">
        <w:tc>
          <w:tcPr>
            <w:tcW w:w="15452" w:type="dxa"/>
            <w:gridSpan w:val="2"/>
            <w:tcBorders>
              <w:top w:val="nil"/>
              <w:left w:val="nil"/>
              <w:right w:val="nil"/>
            </w:tcBorders>
          </w:tcPr>
          <w:p w:rsidR="00DF2AEC" w:rsidRPr="0001660E" w:rsidRDefault="00DF2AEC" w:rsidP="003555E5">
            <w:pPr>
              <w:pStyle w:val="a9"/>
              <w:widowControl/>
              <w:numPr>
                <w:ilvl w:val="0"/>
                <w:numId w:val="6"/>
              </w:numPr>
              <w:ind w:leftChars="0"/>
              <w:rPr>
                <w:rFonts w:ascii="Times New Roman" w:eastAsia="標楷體" w:hAnsi="Times New Roman"/>
                <w:b/>
              </w:rPr>
            </w:pPr>
            <w:r w:rsidRPr="0001660E">
              <w:rPr>
                <w:rFonts w:ascii="Times New Roman" w:eastAsia="標楷體"/>
                <w:b/>
                <w:bCs/>
                <w:color w:val="000000" w:themeColor="text1"/>
                <w:kern w:val="36"/>
                <w:lang w:bidi="hi-IN"/>
              </w:rPr>
              <w:t>Lenvatinib</w:t>
            </w:r>
          </w:p>
        </w:tc>
      </w:tr>
      <w:tr w:rsidR="00DF2AEC" w:rsidRPr="00386048" w:rsidTr="00C7054A">
        <w:tc>
          <w:tcPr>
            <w:tcW w:w="970" w:type="dxa"/>
            <w:tcBorders>
              <w:bottom w:val="single" w:sz="4" w:space="0" w:color="auto"/>
            </w:tcBorders>
            <w:vAlign w:val="center"/>
          </w:tcPr>
          <w:p w:rsidR="00DF2AEC" w:rsidRPr="00386048" w:rsidRDefault="00DF2AEC" w:rsidP="00E1272F">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Borders>
              <w:bottom w:val="single" w:sz="4" w:space="0" w:color="auto"/>
            </w:tcBorders>
          </w:tcPr>
          <w:p w:rsidR="00DF2AEC" w:rsidRPr="00386048" w:rsidRDefault="00DF2AEC" w:rsidP="00E1272F">
            <w:pPr>
              <w:widowControl/>
              <w:rPr>
                <w:rFonts w:ascii="Times New Roman" w:eastAsia="標楷體" w:hAnsi="Times New Roman"/>
              </w:rPr>
            </w:pPr>
            <w:r>
              <w:rPr>
                <w:rFonts w:ascii="Times New Roman" w:eastAsia="標楷體" w:hAnsi="Times New Roman"/>
              </w:rPr>
              <w:t>Lenvatinib</w:t>
            </w:r>
            <w:r w:rsidRPr="005022AB">
              <w:rPr>
                <w:rFonts w:ascii="Times New Roman" w:eastAsia="標楷體" w:hAnsi="Times New Roman"/>
              </w:rPr>
              <w:t>是一種激酶抑制劑，會抑制血管內皮生長因子</w:t>
            </w:r>
            <w:r w:rsidRPr="005022AB">
              <w:rPr>
                <w:rFonts w:ascii="Times New Roman" w:eastAsia="標楷體" w:hAnsi="Times New Roman"/>
              </w:rPr>
              <w:t>(VEGF)</w:t>
            </w:r>
            <w:r w:rsidRPr="005022AB">
              <w:rPr>
                <w:rFonts w:ascii="Times New Roman" w:eastAsia="標楷體" w:hAnsi="Times New Roman"/>
              </w:rPr>
              <w:t>受體</w:t>
            </w:r>
            <w:r w:rsidRPr="005022AB">
              <w:rPr>
                <w:rFonts w:ascii="Times New Roman" w:eastAsia="標楷體" w:hAnsi="Times New Roman"/>
              </w:rPr>
              <w:t>VEGFR1 (FLT1)</w:t>
            </w:r>
            <w:r w:rsidRPr="005022AB">
              <w:rPr>
                <w:rFonts w:ascii="Times New Roman" w:eastAsia="標楷體" w:hAnsi="Times New Roman"/>
              </w:rPr>
              <w:t>、</w:t>
            </w:r>
            <w:r w:rsidRPr="005022AB">
              <w:rPr>
                <w:rFonts w:ascii="Times New Roman" w:eastAsia="標楷體" w:hAnsi="Times New Roman"/>
              </w:rPr>
              <w:t>VEGFR2 (KDR)</w:t>
            </w:r>
            <w:r w:rsidRPr="005022AB">
              <w:rPr>
                <w:rFonts w:ascii="Times New Roman" w:eastAsia="標楷體" w:hAnsi="Times New Roman"/>
              </w:rPr>
              <w:t>和</w:t>
            </w:r>
            <w:r w:rsidRPr="005022AB">
              <w:rPr>
                <w:rFonts w:ascii="Times New Roman" w:eastAsia="標楷體" w:hAnsi="Times New Roman"/>
              </w:rPr>
              <w:t>VEGFR3 (FLT4)</w:t>
            </w:r>
            <w:r w:rsidRPr="005022AB">
              <w:rPr>
                <w:rFonts w:ascii="Times New Roman" w:eastAsia="標楷體" w:hAnsi="Times New Roman"/>
              </w:rPr>
              <w:t>之激酶活性。除了抑制一般細胞功能外，</w:t>
            </w:r>
            <w:r>
              <w:rPr>
                <w:rFonts w:ascii="Times New Roman" w:eastAsia="標楷體" w:hAnsi="Times New Roman"/>
              </w:rPr>
              <w:t>lenvatinib</w:t>
            </w:r>
            <w:r w:rsidRPr="005022AB">
              <w:rPr>
                <w:rFonts w:ascii="Times New Roman" w:eastAsia="標楷體" w:hAnsi="Times New Roman"/>
              </w:rPr>
              <w:t>還會抑制促病因性血管增生、腫瘤生長和癌症惡化相關之激酶活性，包括纖維母細胞生長因子</w:t>
            </w:r>
            <w:r w:rsidRPr="005022AB">
              <w:rPr>
                <w:rFonts w:ascii="Times New Roman" w:eastAsia="標楷體" w:hAnsi="Times New Roman"/>
              </w:rPr>
              <w:t>(FGF)</w:t>
            </w:r>
            <w:r w:rsidRPr="005022AB">
              <w:rPr>
                <w:rFonts w:ascii="Times New Roman" w:eastAsia="標楷體" w:hAnsi="Times New Roman"/>
              </w:rPr>
              <w:t>受體</w:t>
            </w:r>
            <w:r w:rsidRPr="005022AB">
              <w:rPr>
                <w:rFonts w:ascii="Times New Roman" w:eastAsia="標楷體" w:hAnsi="Times New Roman"/>
              </w:rPr>
              <w:t>FGFR1</w:t>
            </w:r>
            <w:r w:rsidRPr="005022AB">
              <w:rPr>
                <w:rFonts w:ascii="Times New Roman" w:eastAsia="標楷體" w:hAnsi="Times New Roman"/>
              </w:rPr>
              <w:t>、</w:t>
            </w:r>
            <w:r w:rsidRPr="005022AB">
              <w:rPr>
                <w:rFonts w:ascii="Times New Roman" w:eastAsia="標楷體" w:hAnsi="Times New Roman"/>
              </w:rPr>
              <w:t>2</w:t>
            </w:r>
            <w:r w:rsidRPr="005022AB">
              <w:rPr>
                <w:rFonts w:ascii="Times New Roman" w:eastAsia="標楷體" w:hAnsi="Times New Roman"/>
              </w:rPr>
              <w:t>、</w:t>
            </w:r>
            <w:r w:rsidRPr="005022AB">
              <w:rPr>
                <w:rFonts w:ascii="Times New Roman" w:eastAsia="標楷體" w:hAnsi="Times New Roman"/>
              </w:rPr>
              <w:t>3</w:t>
            </w:r>
            <w:r w:rsidRPr="005022AB">
              <w:rPr>
                <w:rFonts w:ascii="Times New Roman" w:eastAsia="標楷體" w:hAnsi="Times New Roman"/>
              </w:rPr>
              <w:t>、</w:t>
            </w:r>
            <w:r w:rsidRPr="005022AB">
              <w:rPr>
                <w:rFonts w:ascii="Times New Roman" w:eastAsia="標楷體" w:hAnsi="Times New Roman"/>
              </w:rPr>
              <w:t>4</w:t>
            </w:r>
            <w:r w:rsidRPr="005022AB">
              <w:rPr>
                <w:rFonts w:ascii="Times New Roman" w:eastAsia="標楷體" w:hAnsi="Times New Roman"/>
              </w:rPr>
              <w:t>；血小板衍生生長因子受體</w:t>
            </w:r>
            <w:r w:rsidRPr="005022AB">
              <w:rPr>
                <w:rFonts w:ascii="Times New Roman" w:eastAsia="標楷體" w:hAnsi="Times New Roman"/>
              </w:rPr>
              <w:t>(PDGFRα)</w:t>
            </w:r>
            <w:r w:rsidRPr="005022AB">
              <w:rPr>
                <w:rFonts w:ascii="Times New Roman" w:eastAsia="標楷體" w:hAnsi="Times New Roman"/>
              </w:rPr>
              <w:t>、</w:t>
            </w:r>
            <w:r>
              <w:rPr>
                <w:rFonts w:ascii="Times New Roman" w:eastAsia="標楷體" w:hAnsi="Times New Roman"/>
              </w:rPr>
              <w:t>KIT</w:t>
            </w:r>
            <w:r w:rsidRPr="005022AB">
              <w:rPr>
                <w:rFonts w:ascii="Times New Roman" w:eastAsia="標楷體" w:hAnsi="Times New Roman"/>
              </w:rPr>
              <w:t>和</w:t>
            </w:r>
            <w:r w:rsidRPr="005022AB">
              <w:rPr>
                <w:rFonts w:ascii="Times New Roman" w:eastAsia="標楷體" w:hAnsi="Times New Roman"/>
              </w:rPr>
              <w:t>RET</w:t>
            </w:r>
            <w:r w:rsidRPr="005022AB">
              <w:rPr>
                <w:rFonts w:ascii="Times New Roman" w:eastAsia="標楷體" w:hAnsi="Times New Roman"/>
              </w:rPr>
              <w:t>。</w:t>
            </w:r>
            <w:r w:rsidRPr="005022AB">
              <w:rPr>
                <w:rFonts w:ascii="Times New Roman" w:eastAsia="標楷體" w:hAnsi="Times New Roman"/>
              </w:rPr>
              <w:t>Lenvatinib</w:t>
            </w:r>
            <w:r w:rsidRPr="005022AB">
              <w:rPr>
                <w:rFonts w:ascii="Times New Roman" w:eastAsia="標楷體" w:hAnsi="Times New Roman"/>
              </w:rPr>
              <w:t>在依賴</w:t>
            </w:r>
            <w:r>
              <w:rPr>
                <w:rFonts w:ascii="Times New Roman" w:eastAsia="標楷體" w:hAnsi="Times New Roman"/>
              </w:rPr>
              <w:t>FGFR</w:t>
            </w:r>
            <w:r w:rsidRPr="005022AB">
              <w:rPr>
                <w:rFonts w:ascii="Times New Roman" w:eastAsia="標楷體" w:hAnsi="Times New Roman"/>
              </w:rPr>
              <w:t>訊息活化的肝細胞株中具有抗增生的活性，同時抑制</w:t>
            </w:r>
            <w:r>
              <w:rPr>
                <w:rFonts w:ascii="Times New Roman" w:eastAsia="標楷體" w:hAnsi="Times New Roman"/>
              </w:rPr>
              <w:t>FGF</w:t>
            </w:r>
            <w:r w:rsidRPr="005022AB">
              <w:rPr>
                <w:rFonts w:ascii="Times New Roman" w:eastAsia="標楷體" w:hAnsi="Times New Roman"/>
              </w:rPr>
              <w:t>受體</w:t>
            </w:r>
            <w:r>
              <w:rPr>
                <w:rFonts w:ascii="Times New Roman" w:eastAsia="標楷體" w:hAnsi="Times New Roman"/>
              </w:rPr>
              <w:t>2α</w:t>
            </w:r>
            <w:r w:rsidRPr="005022AB">
              <w:rPr>
                <w:rFonts w:ascii="Times New Roman" w:eastAsia="標楷體" w:hAnsi="Times New Roman"/>
              </w:rPr>
              <w:t>受質</w:t>
            </w:r>
            <w:r w:rsidRPr="005022AB">
              <w:rPr>
                <w:rFonts w:ascii="Times New Roman" w:eastAsia="標楷體" w:hAnsi="Times New Roman"/>
              </w:rPr>
              <w:t>(FRS2α)</w:t>
            </w:r>
            <w:r w:rsidRPr="005022AB">
              <w:rPr>
                <w:rFonts w:ascii="Times New Roman" w:eastAsia="標楷體" w:hAnsi="Times New Roman"/>
              </w:rPr>
              <w:t>之磷酸化。在同源小鼠腫瘤模式中，</w:t>
            </w:r>
            <w:r w:rsidRPr="005022AB">
              <w:rPr>
                <w:rFonts w:ascii="Times New Roman" w:eastAsia="標楷體" w:hAnsi="Times New Roman"/>
              </w:rPr>
              <w:t>lenvat</w:t>
            </w:r>
            <w:r>
              <w:rPr>
                <w:rFonts w:ascii="Times New Roman" w:eastAsia="標楷體" w:hAnsi="Times New Roman"/>
              </w:rPr>
              <w:t>inib</w:t>
            </w:r>
            <w:r w:rsidRPr="005022AB">
              <w:rPr>
                <w:rFonts w:ascii="Times New Roman" w:eastAsia="標楷體" w:hAnsi="Times New Roman"/>
              </w:rPr>
              <w:t>會減少腫瘤關聯性巨噬細胞，增加活化的毒殺性</w:t>
            </w:r>
            <w:r>
              <w:rPr>
                <w:rFonts w:ascii="Times New Roman" w:eastAsia="標楷體" w:hAnsi="Times New Roman"/>
              </w:rPr>
              <w:t xml:space="preserve"> T</w:t>
            </w:r>
            <w:r w:rsidRPr="005022AB">
              <w:rPr>
                <w:rFonts w:ascii="Times New Roman" w:eastAsia="標楷體" w:hAnsi="Times New Roman"/>
              </w:rPr>
              <w:t>細胞，並顯示</w:t>
            </w:r>
            <w:r>
              <w:rPr>
                <w:rFonts w:ascii="Times New Roman" w:eastAsia="標楷體" w:hAnsi="Times New Roman"/>
              </w:rPr>
              <w:t>lenvatinib</w:t>
            </w:r>
            <w:r w:rsidRPr="005022AB">
              <w:rPr>
                <w:rFonts w:ascii="Times New Roman" w:eastAsia="標楷體" w:hAnsi="Times New Roman"/>
              </w:rPr>
              <w:t>併用抗</w:t>
            </w:r>
            <w:r>
              <w:rPr>
                <w:rFonts w:ascii="Times New Roman" w:eastAsia="標楷體" w:hAnsi="Times New Roman"/>
              </w:rPr>
              <w:t>PD-1</w:t>
            </w:r>
            <w:r w:rsidRPr="005022AB">
              <w:rPr>
                <w:rFonts w:ascii="Times New Roman" w:eastAsia="標楷體" w:hAnsi="Times New Roman"/>
              </w:rPr>
              <w:t>單株抗體比單獨使用其中任一治療的抗腫瘤活性更強。</w:t>
            </w:r>
            <w:r>
              <w:rPr>
                <w:rFonts w:ascii="Times New Roman" w:eastAsia="標楷體" w:hAnsi="Times New Roman"/>
              </w:rPr>
              <w:t>Lenvatinib</w:t>
            </w:r>
            <w:r w:rsidRPr="005022AB">
              <w:rPr>
                <w:rFonts w:ascii="Times New Roman" w:eastAsia="標楷體" w:hAnsi="Times New Roman"/>
              </w:rPr>
              <w:t>與</w:t>
            </w:r>
            <w:r>
              <w:rPr>
                <w:rFonts w:ascii="Times New Roman" w:eastAsia="標楷體" w:hAnsi="Times New Roman"/>
              </w:rPr>
              <w:t>everolimus</w:t>
            </w:r>
            <w:r w:rsidRPr="005022AB">
              <w:rPr>
                <w:rFonts w:ascii="Times New Roman" w:eastAsia="標楷體" w:hAnsi="Times New Roman"/>
              </w:rPr>
              <w:t>的併用能增強抗血管新生及抗腫瘤的效果，其效果在體外試驗中能減少人類內皮細胞的增生、血管生成及</w:t>
            </w:r>
            <w:r>
              <w:rPr>
                <w:rFonts w:ascii="Times New Roman" w:eastAsia="標楷體" w:hAnsi="Times New Roman"/>
              </w:rPr>
              <w:t>VEGF</w:t>
            </w:r>
            <w:r w:rsidRPr="005022AB">
              <w:rPr>
                <w:rFonts w:ascii="Times New Roman" w:eastAsia="標楷體" w:hAnsi="Times New Roman"/>
              </w:rPr>
              <w:t>的訊息傳遞，以及在小鼠異種移植研究模型中，合併使用比單獨使用更縮小人類腎細胞癌的腫瘤體積而得以證實。</w:t>
            </w:r>
          </w:p>
        </w:tc>
      </w:tr>
      <w:tr w:rsidR="00DF2AEC" w:rsidRPr="008A3F92" w:rsidTr="00C7054A">
        <w:tc>
          <w:tcPr>
            <w:tcW w:w="970" w:type="dxa"/>
            <w:tcBorders>
              <w:bottom w:val="single" w:sz="4" w:space="0" w:color="auto"/>
            </w:tcBorders>
            <w:vAlign w:val="center"/>
          </w:tcPr>
          <w:p w:rsidR="00DF2AEC" w:rsidRPr="00386048" w:rsidRDefault="00DF2AEC" w:rsidP="00E1272F">
            <w:pPr>
              <w:widowControl/>
              <w:jc w:val="both"/>
              <w:rPr>
                <w:rFonts w:ascii="Times New Roman" w:eastAsia="標楷體" w:hAnsi="Times New Roman"/>
              </w:rPr>
            </w:pPr>
            <w:r w:rsidRPr="00386048">
              <w:rPr>
                <w:rFonts w:ascii="Times New Roman" w:eastAsia="標楷體" w:hAnsi="Times New Roman"/>
              </w:rPr>
              <w:t>適應症</w:t>
            </w:r>
          </w:p>
        </w:tc>
        <w:tc>
          <w:tcPr>
            <w:tcW w:w="14482" w:type="dxa"/>
            <w:tcBorders>
              <w:bottom w:val="single" w:sz="4" w:space="0" w:color="auto"/>
            </w:tcBorders>
          </w:tcPr>
          <w:p w:rsidR="00DF2AEC" w:rsidRPr="00AF5EF5" w:rsidRDefault="00DF2AEC" w:rsidP="003555E5">
            <w:pPr>
              <w:pStyle w:val="a9"/>
              <w:widowControl/>
              <w:numPr>
                <w:ilvl w:val="0"/>
                <w:numId w:val="11"/>
              </w:numPr>
              <w:tabs>
                <w:tab w:val="left" w:pos="3255"/>
              </w:tabs>
              <w:ind w:leftChars="0"/>
              <w:rPr>
                <w:rFonts w:ascii="Times New Roman" w:eastAsia="標楷體" w:hAnsi="Times New Roman"/>
              </w:rPr>
            </w:pPr>
            <w:r w:rsidRPr="005022AB">
              <w:rPr>
                <w:rFonts w:ascii="Times New Roman" w:eastAsia="標楷體" w:hAnsi="Times New Roman"/>
              </w:rPr>
              <w:t>分化型甲狀腺癌</w:t>
            </w:r>
            <w:r w:rsidRPr="005022AB">
              <w:rPr>
                <w:rFonts w:ascii="Times New Roman" w:eastAsia="標楷體" w:hAnsi="Times New Roman"/>
              </w:rPr>
              <w:t>(Differentiated thyroid cancer, DTC)</w:t>
            </w:r>
            <w:r>
              <w:rPr>
                <w:rFonts w:ascii="Times New Roman" w:eastAsia="標楷體" w:hAnsi="Times New Roman" w:hint="eastAsia"/>
              </w:rPr>
              <w:t>：</w:t>
            </w:r>
            <w:r w:rsidRPr="005022AB">
              <w:rPr>
                <w:rFonts w:ascii="Times New Roman" w:eastAsia="標楷體" w:hAnsi="Times New Roman"/>
              </w:rPr>
              <w:t>適用於放射性碘治療無效之進行性，且為局部晚期或轉移性之分化型甲狀腺癌之成人病人。</w:t>
            </w:r>
          </w:p>
          <w:p w:rsidR="00DF2AEC" w:rsidRPr="00AF5EF5" w:rsidRDefault="00DF2AEC" w:rsidP="003555E5">
            <w:pPr>
              <w:pStyle w:val="a9"/>
              <w:widowControl/>
              <w:numPr>
                <w:ilvl w:val="0"/>
                <w:numId w:val="11"/>
              </w:numPr>
              <w:tabs>
                <w:tab w:val="left" w:pos="3255"/>
              </w:tabs>
              <w:ind w:leftChars="0"/>
              <w:rPr>
                <w:rFonts w:ascii="Times New Roman" w:eastAsia="標楷體" w:hAnsi="Times New Roman"/>
              </w:rPr>
            </w:pPr>
            <w:r w:rsidRPr="005022AB">
              <w:rPr>
                <w:rFonts w:ascii="Times New Roman" w:eastAsia="標楷體" w:hAnsi="Times New Roman"/>
              </w:rPr>
              <w:t>腎細胞癌</w:t>
            </w:r>
            <w:r w:rsidRPr="005022AB">
              <w:rPr>
                <w:rFonts w:ascii="Times New Roman" w:eastAsia="標楷體" w:hAnsi="Times New Roman"/>
              </w:rPr>
              <w:t>(Renal Cell Carcinoma, RCC)</w:t>
            </w:r>
            <w:r>
              <w:rPr>
                <w:rFonts w:ascii="Times New Roman" w:eastAsia="標楷體" w:hAnsi="Times New Roman" w:hint="eastAsia"/>
              </w:rPr>
              <w:t>：</w:t>
            </w:r>
            <w:r w:rsidRPr="005022AB">
              <w:rPr>
                <w:rFonts w:ascii="Times New Roman" w:eastAsia="標楷體" w:hAnsi="Times New Roman"/>
              </w:rPr>
              <w:t>適用於和</w:t>
            </w:r>
            <w:r w:rsidRPr="005022AB">
              <w:rPr>
                <w:rFonts w:ascii="Times New Roman" w:eastAsia="標楷體" w:hAnsi="Times New Roman"/>
              </w:rPr>
              <w:t>everolimus</w:t>
            </w:r>
            <w:r w:rsidRPr="005022AB">
              <w:rPr>
                <w:rFonts w:ascii="Times New Roman" w:eastAsia="標楷體" w:hAnsi="Times New Roman"/>
              </w:rPr>
              <w:t>併用治療曾經接受過一種抗血管新生療法的晚期腎細胞癌病人。</w:t>
            </w:r>
          </w:p>
          <w:p w:rsidR="00DF2AEC" w:rsidRPr="00AF5EF5" w:rsidRDefault="00DF2AEC" w:rsidP="003555E5">
            <w:pPr>
              <w:pStyle w:val="a9"/>
              <w:widowControl/>
              <w:numPr>
                <w:ilvl w:val="0"/>
                <w:numId w:val="11"/>
              </w:numPr>
              <w:tabs>
                <w:tab w:val="left" w:pos="3255"/>
              </w:tabs>
              <w:ind w:leftChars="0"/>
              <w:rPr>
                <w:rFonts w:ascii="Times New Roman" w:eastAsia="標楷體" w:hAnsi="Times New Roman"/>
              </w:rPr>
            </w:pPr>
            <w:r w:rsidRPr="005022AB">
              <w:rPr>
                <w:rFonts w:ascii="Times New Roman" w:eastAsia="標楷體" w:hAnsi="Times New Roman"/>
              </w:rPr>
              <w:t>肝細胞癌</w:t>
            </w:r>
            <w:r w:rsidRPr="005022AB">
              <w:rPr>
                <w:rFonts w:ascii="Times New Roman" w:eastAsia="標楷體" w:hAnsi="Times New Roman"/>
              </w:rPr>
              <w:t>(Hepatocellular Carcinoma)</w:t>
            </w:r>
            <w:r>
              <w:rPr>
                <w:rFonts w:ascii="Times New Roman" w:eastAsia="標楷體" w:hAnsi="Times New Roman" w:hint="eastAsia"/>
              </w:rPr>
              <w:t>：</w:t>
            </w:r>
            <w:r w:rsidRPr="005022AB">
              <w:rPr>
                <w:rFonts w:ascii="Times New Roman" w:eastAsia="標楷體" w:hAnsi="Times New Roman"/>
              </w:rPr>
              <w:t>適用於無法手術切除且不適合局部治療之晚期肝細胞癌病人。</w:t>
            </w:r>
          </w:p>
          <w:p w:rsidR="00DF2AEC" w:rsidRPr="008A3F92" w:rsidRDefault="00DF2AEC" w:rsidP="003555E5">
            <w:pPr>
              <w:pStyle w:val="a9"/>
              <w:widowControl/>
              <w:numPr>
                <w:ilvl w:val="0"/>
                <w:numId w:val="11"/>
              </w:numPr>
              <w:tabs>
                <w:tab w:val="left" w:pos="3255"/>
              </w:tabs>
              <w:ind w:leftChars="0"/>
              <w:rPr>
                <w:rFonts w:ascii="Times New Roman" w:eastAsia="標楷體" w:hAnsi="Times New Roman"/>
              </w:rPr>
            </w:pPr>
            <w:r w:rsidRPr="005022AB">
              <w:rPr>
                <w:rFonts w:ascii="Times New Roman" w:eastAsia="標楷體" w:hAnsi="Times New Roman"/>
              </w:rPr>
              <w:t>子宮內膜癌</w:t>
            </w:r>
            <w:r w:rsidRPr="005022AB">
              <w:rPr>
                <w:rFonts w:ascii="Times New Roman" w:eastAsia="標楷體" w:hAnsi="Times New Roman"/>
              </w:rPr>
              <w:t>(Endometrial Carcinoma)</w:t>
            </w:r>
            <w:r>
              <w:rPr>
                <w:rFonts w:ascii="Times New Roman" w:eastAsia="標楷體" w:hAnsi="Times New Roman" w:hint="eastAsia"/>
              </w:rPr>
              <w:t>：</w:t>
            </w:r>
            <w:r w:rsidRPr="005022AB">
              <w:rPr>
                <w:rFonts w:ascii="Times New Roman" w:eastAsia="標楷體" w:hAnsi="Times New Roman"/>
              </w:rPr>
              <w:t>與</w:t>
            </w:r>
            <w:r w:rsidRPr="005022AB">
              <w:rPr>
                <w:rFonts w:ascii="Times New Roman" w:eastAsia="標楷體" w:hAnsi="Times New Roman"/>
              </w:rPr>
              <w:t>pembrolizumab</w:t>
            </w:r>
            <w:r w:rsidRPr="005022AB">
              <w:rPr>
                <w:rFonts w:ascii="Times New Roman" w:eastAsia="標楷體" w:hAnsi="Times New Roman"/>
              </w:rPr>
              <w:t>併用適用於曾經接受過全身性治療後疾病惡化，且不適合根治手術或放射治療的不具有高微衛星不穩定性</w:t>
            </w:r>
            <w:r w:rsidRPr="005022AB">
              <w:rPr>
                <w:rFonts w:ascii="Times New Roman" w:eastAsia="標楷體" w:hAnsi="Times New Roman"/>
              </w:rPr>
              <w:t>(microsatellite instability-high, MSI-H)</w:t>
            </w:r>
            <w:r w:rsidRPr="005022AB">
              <w:rPr>
                <w:rFonts w:ascii="Times New Roman" w:eastAsia="標楷體" w:hAnsi="Times New Roman"/>
              </w:rPr>
              <w:t>或錯誤配對修復功能不足</w:t>
            </w:r>
            <w:r w:rsidRPr="005022AB">
              <w:rPr>
                <w:rFonts w:ascii="Times New Roman" w:eastAsia="標楷體" w:hAnsi="Times New Roman"/>
              </w:rPr>
              <w:t>(mismatch repair deficient, dMMR)</w:t>
            </w:r>
            <w:r w:rsidRPr="005022AB">
              <w:rPr>
                <w:rFonts w:ascii="Times New Roman" w:eastAsia="標楷體" w:hAnsi="Times New Roman"/>
              </w:rPr>
              <w:t>之晚期子宮內膜癌病人。</w:t>
            </w:r>
          </w:p>
        </w:tc>
      </w:tr>
      <w:tr w:rsidR="00DF2AEC" w:rsidRPr="0001660E" w:rsidTr="00C7054A">
        <w:tc>
          <w:tcPr>
            <w:tcW w:w="15452" w:type="dxa"/>
            <w:gridSpan w:val="2"/>
            <w:tcBorders>
              <w:top w:val="single" w:sz="4" w:space="0" w:color="auto"/>
              <w:left w:val="nil"/>
              <w:bottom w:val="nil"/>
              <w:right w:val="nil"/>
            </w:tcBorders>
          </w:tcPr>
          <w:p w:rsidR="00DF2AEC" w:rsidRPr="0001660E" w:rsidRDefault="00DF2AEC" w:rsidP="00C7054A">
            <w:pPr>
              <w:pStyle w:val="a9"/>
              <w:widowControl/>
              <w:ind w:leftChars="0"/>
              <w:rPr>
                <w:rFonts w:ascii="Times New Roman" w:eastAsia="標楷體"/>
                <w:b/>
                <w:bCs/>
                <w:color w:val="000000" w:themeColor="text1"/>
                <w:kern w:val="36"/>
                <w:lang w:bidi="hi-IN"/>
              </w:rPr>
            </w:pPr>
          </w:p>
        </w:tc>
      </w:tr>
      <w:tr w:rsidR="00C7054A" w:rsidRPr="0001660E" w:rsidTr="00C7054A">
        <w:tc>
          <w:tcPr>
            <w:tcW w:w="15452" w:type="dxa"/>
            <w:gridSpan w:val="2"/>
            <w:tcBorders>
              <w:top w:val="nil"/>
              <w:left w:val="nil"/>
              <w:bottom w:val="nil"/>
              <w:right w:val="nil"/>
            </w:tcBorders>
          </w:tcPr>
          <w:p w:rsidR="00C7054A" w:rsidRPr="00C7054A" w:rsidRDefault="00C7054A" w:rsidP="00C7054A">
            <w:pPr>
              <w:widowControl/>
              <w:rPr>
                <w:rFonts w:ascii="Times New Roman" w:eastAsia="標楷體"/>
                <w:b/>
                <w:bCs/>
                <w:color w:val="000000" w:themeColor="text1"/>
                <w:kern w:val="36"/>
                <w:lang w:bidi="hi-IN"/>
              </w:rPr>
            </w:pPr>
          </w:p>
        </w:tc>
      </w:tr>
      <w:tr w:rsidR="00C7054A" w:rsidRPr="0001660E" w:rsidTr="00C7054A">
        <w:tc>
          <w:tcPr>
            <w:tcW w:w="15452" w:type="dxa"/>
            <w:gridSpan w:val="2"/>
            <w:tcBorders>
              <w:top w:val="nil"/>
              <w:left w:val="nil"/>
              <w:bottom w:val="nil"/>
              <w:right w:val="nil"/>
            </w:tcBorders>
          </w:tcPr>
          <w:p w:rsidR="00C7054A" w:rsidRPr="00C7054A" w:rsidRDefault="00C7054A" w:rsidP="00C7054A">
            <w:pPr>
              <w:widowControl/>
              <w:rPr>
                <w:rFonts w:ascii="Times New Roman" w:eastAsia="標楷體"/>
                <w:b/>
                <w:bCs/>
                <w:color w:val="000000" w:themeColor="text1"/>
                <w:kern w:val="36"/>
                <w:lang w:bidi="hi-IN"/>
              </w:rPr>
            </w:pPr>
          </w:p>
        </w:tc>
      </w:tr>
      <w:tr w:rsidR="00C7054A" w:rsidRPr="0001660E" w:rsidTr="00C7054A">
        <w:tc>
          <w:tcPr>
            <w:tcW w:w="15452" w:type="dxa"/>
            <w:gridSpan w:val="2"/>
            <w:tcBorders>
              <w:top w:val="nil"/>
              <w:left w:val="nil"/>
              <w:right w:val="nil"/>
            </w:tcBorders>
          </w:tcPr>
          <w:p w:rsidR="00C7054A" w:rsidRPr="0001660E" w:rsidRDefault="00C7054A" w:rsidP="003555E5">
            <w:pPr>
              <w:pStyle w:val="a9"/>
              <w:widowControl/>
              <w:numPr>
                <w:ilvl w:val="0"/>
                <w:numId w:val="6"/>
              </w:numPr>
              <w:ind w:leftChars="0"/>
              <w:rPr>
                <w:rFonts w:ascii="Times New Roman" w:eastAsia="標楷體"/>
                <w:b/>
                <w:bCs/>
                <w:color w:val="000000" w:themeColor="text1"/>
                <w:kern w:val="36"/>
                <w:lang w:bidi="hi-IN"/>
              </w:rPr>
            </w:pPr>
            <w:r w:rsidRPr="0001660E">
              <w:rPr>
                <w:rFonts w:ascii="Times New Roman" w:eastAsia="標楷體"/>
                <w:b/>
                <w:bCs/>
                <w:color w:val="000000" w:themeColor="text1"/>
                <w:kern w:val="36"/>
                <w:lang w:bidi="hi-IN"/>
              </w:rPr>
              <w:t>Nintedanib</w:t>
            </w:r>
          </w:p>
        </w:tc>
      </w:tr>
      <w:tr w:rsidR="00DF2AEC" w:rsidRPr="00023B86" w:rsidTr="00E1272F">
        <w:tc>
          <w:tcPr>
            <w:tcW w:w="970" w:type="dxa"/>
            <w:vAlign w:val="center"/>
          </w:tcPr>
          <w:p w:rsidR="00DF2AEC" w:rsidRPr="00386048" w:rsidRDefault="00DF2AEC" w:rsidP="00E1272F">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Pr>
          <w:p w:rsidR="00DF2AEC" w:rsidRPr="00023B86" w:rsidRDefault="00DF2AEC" w:rsidP="00E1272F">
            <w:pPr>
              <w:widowControl/>
              <w:rPr>
                <w:rFonts w:ascii="Times New Roman" w:eastAsia="標楷體" w:hAnsi="Times New Roman"/>
              </w:rPr>
            </w:pPr>
            <w:r>
              <w:rPr>
                <w:rFonts w:ascii="Times New Roman" w:eastAsia="標楷體" w:hAnsi="Times New Roman"/>
              </w:rPr>
              <w:t>Nintedanib</w:t>
            </w:r>
            <w:r>
              <w:rPr>
                <w:rFonts w:ascii="Times New Roman" w:eastAsia="標楷體" w:hAnsi="Times New Roman"/>
              </w:rPr>
              <w:t>能抑制多種受體酪胺酸激酶</w:t>
            </w:r>
            <w:r>
              <w:rPr>
                <w:rFonts w:ascii="Times New Roman" w:eastAsia="標楷體" w:hAnsi="Times New Roman"/>
              </w:rPr>
              <w:t>(</w:t>
            </w:r>
            <w:r w:rsidRPr="00AB602C">
              <w:rPr>
                <w:rFonts w:ascii="Times New Roman" w:eastAsia="標楷體" w:hAnsi="Times New Roman"/>
              </w:rPr>
              <w:t>RTK</w:t>
            </w:r>
            <w:r>
              <w:rPr>
                <w:rFonts w:ascii="Times New Roman" w:eastAsia="標楷體" w:hAnsi="Times New Roman"/>
              </w:rPr>
              <w:t>)</w:t>
            </w:r>
            <w:r>
              <w:rPr>
                <w:rFonts w:ascii="Times New Roman" w:eastAsia="標楷體" w:hAnsi="Times New Roman"/>
              </w:rPr>
              <w:t>和非受體酪胺酸激酶</w:t>
            </w:r>
            <w:r>
              <w:rPr>
                <w:rFonts w:ascii="Times New Roman" w:eastAsia="標楷體" w:hAnsi="Times New Roman"/>
              </w:rPr>
              <w:t>(</w:t>
            </w:r>
            <w:r w:rsidRPr="00AB602C">
              <w:rPr>
                <w:rFonts w:ascii="Times New Roman" w:eastAsia="標楷體" w:hAnsi="Times New Roman"/>
              </w:rPr>
              <w:t>nRTK</w:t>
            </w:r>
            <w:r>
              <w:rPr>
                <w:rFonts w:ascii="Times New Roman" w:eastAsia="標楷體" w:hAnsi="Times New Roman"/>
              </w:rPr>
              <w:t>)</w:t>
            </w:r>
            <w:r w:rsidRPr="00AB602C">
              <w:rPr>
                <w:rFonts w:ascii="Times New Roman" w:eastAsia="標楷體" w:hAnsi="Times New Roman"/>
              </w:rPr>
              <w:t>的小分子。</w:t>
            </w:r>
            <w:r w:rsidRPr="00AB602C">
              <w:rPr>
                <w:rFonts w:ascii="Times New Roman" w:eastAsia="標楷體" w:hAnsi="Times New Roman"/>
              </w:rPr>
              <w:t>Nintedanib</w:t>
            </w:r>
            <w:r w:rsidRPr="00AB602C">
              <w:rPr>
                <w:rFonts w:ascii="Times New Roman" w:eastAsia="標楷體" w:hAnsi="Times New Roman"/>
              </w:rPr>
              <w:t>可抑制下列</w:t>
            </w:r>
            <w:r w:rsidRPr="00AB602C">
              <w:rPr>
                <w:rFonts w:ascii="Times New Roman" w:eastAsia="標楷體" w:hAnsi="Times New Roman"/>
              </w:rPr>
              <w:t>RTK</w:t>
            </w:r>
            <w:r>
              <w:rPr>
                <w:rFonts w:ascii="Times New Roman" w:eastAsia="標楷體" w:hAnsi="Times New Roman"/>
              </w:rPr>
              <w:t>：血小板衍生之生長因子受體</w:t>
            </w:r>
            <w:r>
              <w:rPr>
                <w:rFonts w:ascii="Times New Roman" w:eastAsia="標楷體" w:hAnsi="Times New Roman"/>
              </w:rPr>
              <w:t>(</w:t>
            </w:r>
            <w:r w:rsidRPr="00AB602C">
              <w:rPr>
                <w:rFonts w:ascii="Times New Roman" w:eastAsia="標楷體" w:hAnsi="Times New Roman"/>
              </w:rPr>
              <w:t>PDGFR</w:t>
            </w:r>
            <w:r>
              <w:rPr>
                <w:rFonts w:ascii="Times New Roman" w:eastAsia="標楷體" w:hAnsi="Times New Roman"/>
              </w:rPr>
              <w:t>) α</w:t>
            </w:r>
            <w:r w:rsidRPr="00AB602C">
              <w:rPr>
                <w:rFonts w:ascii="Times New Roman" w:eastAsia="標楷體" w:hAnsi="Times New Roman"/>
              </w:rPr>
              <w:t>與</w:t>
            </w:r>
            <w:r w:rsidRPr="00AB602C">
              <w:rPr>
                <w:rFonts w:ascii="Times New Roman" w:eastAsia="標楷體" w:hAnsi="Times New Roman"/>
              </w:rPr>
              <w:t>β</w:t>
            </w:r>
            <w:r w:rsidRPr="00AB602C">
              <w:rPr>
                <w:rFonts w:ascii="Times New Roman" w:eastAsia="標楷體" w:hAnsi="Times New Roman"/>
              </w:rPr>
              <w:t>、纖維母細胞生長因子受體</w:t>
            </w:r>
            <w:r>
              <w:rPr>
                <w:rFonts w:ascii="Times New Roman" w:eastAsia="標楷體" w:hAnsi="Times New Roman"/>
              </w:rPr>
              <w:t>(</w:t>
            </w:r>
            <w:r w:rsidRPr="00AB602C">
              <w:rPr>
                <w:rFonts w:ascii="Times New Roman" w:eastAsia="標楷體" w:hAnsi="Times New Roman"/>
              </w:rPr>
              <w:t>FGFR</w:t>
            </w:r>
            <w:r>
              <w:rPr>
                <w:rFonts w:ascii="Times New Roman" w:eastAsia="標楷體" w:hAnsi="Times New Roman"/>
              </w:rPr>
              <w:t xml:space="preserve">) </w:t>
            </w:r>
            <w:r w:rsidRPr="00AB602C">
              <w:rPr>
                <w:rFonts w:ascii="Times New Roman" w:eastAsia="標楷體" w:hAnsi="Times New Roman"/>
              </w:rPr>
              <w:t>1-3</w:t>
            </w:r>
            <w:r>
              <w:rPr>
                <w:rFonts w:ascii="Times New Roman" w:eastAsia="標楷體" w:hAnsi="Times New Roman"/>
              </w:rPr>
              <w:t>、血管內皮生長因子受體</w:t>
            </w:r>
            <w:r>
              <w:rPr>
                <w:rFonts w:ascii="Times New Roman" w:eastAsia="標楷體" w:hAnsi="Times New Roman"/>
              </w:rPr>
              <w:t>(</w:t>
            </w:r>
            <w:r w:rsidRPr="00AB602C">
              <w:rPr>
                <w:rFonts w:ascii="Times New Roman" w:eastAsia="標楷體" w:hAnsi="Times New Roman"/>
              </w:rPr>
              <w:t>VEGFR</w:t>
            </w:r>
            <w:r>
              <w:rPr>
                <w:rFonts w:ascii="Times New Roman" w:eastAsia="標楷體" w:hAnsi="Times New Roman"/>
              </w:rPr>
              <w:t xml:space="preserve">) </w:t>
            </w:r>
            <w:r w:rsidRPr="00AB602C">
              <w:rPr>
                <w:rFonts w:ascii="Times New Roman" w:eastAsia="標楷體" w:hAnsi="Times New Roman"/>
              </w:rPr>
              <w:t>1-3</w:t>
            </w:r>
            <w:r w:rsidRPr="00AB602C">
              <w:rPr>
                <w:rFonts w:ascii="Times New Roman" w:eastAsia="標楷體" w:hAnsi="Times New Roman"/>
              </w:rPr>
              <w:t>、群落刺激因子</w:t>
            </w:r>
            <w:r>
              <w:rPr>
                <w:rFonts w:ascii="Times New Roman" w:eastAsia="標楷體" w:hAnsi="Times New Roman"/>
              </w:rPr>
              <w:t>1</w:t>
            </w:r>
            <w:r w:rsidRPr="00AB602C">
              <w:rPr>
                <w:rFonts w:ascii="Times New Roman" w:eastAsia="標楷體" w:hAnsi="Times New Roman"/>
              </w:rPr>
              <w:t>受體</w:t>
            </w:r>
            <w:r w:rsidRPr="00AB602C">
              <w:rPr>
                <w:rFonts w:ascii="Times New Roman" w:eastAsia="標楷體" w:hAnsi="Times New Roman"/>
              </w:rPr>
              <w:t>(CSF1R)</w:t>
            </w:r>
            <w:r w:rsidRPr="00AB602C">
              <w:rPr>
                <w:rFonts w:ascii="Times New Roman" w:eastAsia="標楷體" w:hAnsi="Times New Roman"/>
              </w:rPr>
              <w:t>與似</w:t>
            </w:r>
            <w:r w:rsidRPr="00AB602C">
              <w:rPr>
                <w:rFonts w:ascii="Times New Roman" w:eastAsia="標楷體" w:hAnsi="Times New Roman"/>
              </w:rPr>
              <w:t xml:space="preserve">Fms </w:t>
            </w:r>
            <w:r w:rsidRPr="00AB602C">
              <w:rPr>
                <w:rFonts w:ascii="Times New Roman" w:eastAsia="標楷體" w:hAnsi="Times New Roman"/>
              </w:rPr>
              <w:t>酪胺酸激酶</w:t>
            </w:r>
            <w:r w:rsidRPr="00AB602C">
              <w:rPr>
                <w:rFonts w:ascii="Times New Roman" w:eastAsia="標楷體" w:hAnsi="Times New Roman"/>
              </w:rPr>
              <w:t>3</w:t>
            </w:r>
            <w:r>
              <w:rPr>
                <w:rFonts w:ascii="Times New Roman" w:eastAsia="標楷體" w:hAnsi="Times New Roman"/>
              </w:rPr>
              <w:t xml:space="preserve"> </w:t>
            </w:r>
            <w:r w:rsidRPr="00AB602C">
              <w:rPr>
                <w:rFonts w:ascii="Times New Roman" w:eastAsia="標楷體" w:hAnsi="Times New Roman"/>
              </w:rPr>
              <w:t>(FLT3)</w:t>
            </w:r>
            <w:r w:rsidRPr="00AB602C">
              <w:rPr>
                <w:rFonts w:ascii="Times New Roman" w:eastAsia="標楷體" w:hAnsi="Times New Roman"/>
              </w:rPr>
              <w:t>。除了</w:t>
            </w:r>
            <w:r>
              <w:rPr>
                <w:rFonts w:ascii="Times New Roman" w:eastAsia="標楷體" w:hAnsi="Times New Roman"/>
              </w:rPr>
              <w:t>FLT3</w:t>
            </w:r>
            <w:r w:rsidRPr="00AB602C">
              <w:rPr>
                <w:rFonts w:ascii="Times New Roman" w:eastAsia="標楷體" w:hAnsi="Times New Roman"/>
              </w:rPr>
              <w:t>之外的上述這些激酶，與間質性肺病</w:t>
            </w:r>
            <w:r w:rsidRPr="00AB602C">
              <w:rPr>
                <w:rFonts w:ascii="Times New Roman" w:eastAsia="標楷體" w:hAnsi="Times New Roman"/>
              </w:rPr>
              <w:t>(ILD)</w:t>
            </w:r>
            <w:r w:rsidRPr="00AB602C">
              <w:rPr>
                <w:rFonts w:ascii="Times New Roman" w:eastAsia="標楷體" w:hAnsi="Times New Roman"/>
              </w:rPr>
              <w:t>的致病機轉有關。</w:t>
            </w:r>
            <w:r>
              <w:rPr>
                <w:rFonts w:ascii="Times New Roman" w:eastAsia="標楷體" w:hAnsi="Times New Roman"/>
              </w:rPr>
              <w:t>Nintedanib</w:t>
            </w:r>
            <w:r w:rsidRPr="00AB602C">
              <w:rPr>
                <w:rFonts w:ascii="Times New Roman" w:eastAsia="標楷體" w:hAnsi="Times New Roman"/>
              </w:rPr>
              <w:t>會競</w:t>
            </w:r>
            <w:r>
              <w:rPr>
                <w:rFonts w:ascii="Times New Roman" w:eastAsia="標楷體" w:hAnsi="Times New Roman"/>
              </w:rPr>
              <w:t>爭性地吸附於上述激酶的三磷酸腺苷</w:t>
            </w:r>
            <w:r>
              <w:rPr>
                <w:rFonts w:ascii="Times New Roman" w:eastAsia="標楷體" w:hAnsi="Times New Roman"/>
              </w:rPr>
              <w:t>(</w:t>
            </w:r>
            <w:r w:rsidRPr="00AB602C">
              <w:rPr>
                <w:rFonts w:ascii="Times New Roman" w:eastAsia="標楷體" w:hAnsi="Times New Roman"/>
              </w:rPr>
              <w:t>ATP</w:t>
            </w:r>
            <w:r>
              <w:rPr>
                <w:rFonts w:ascii="Times New Roman" w:eastAsia="標楷體" w:hAnsi="Times New Roman"/>
              </w:rPr>
              <w:t>)</w:t>
            </w:r>
            <w:r w:rsidRPr="00AB602C">
              <w:rPr>
                <w:rFonts w:ascii="Times New Roman" w:eastAsia="標楷體" w:hAnsi="Times New Roman"/>
              </w:rPr>
              <w:t>結合囊上，阻斷細胞內的訊息傳遞系列步驟，研究顯示其涉及間質性肺病病人之纖維組織重塑的發病機制。此外，</w:t>
            </w:r>
            <w:r w:rsidRPr="00AB602C">
              <w:rPr>
                <w:rFonts w:ascii="Times New Roman" w:eastAsia="標楷體" w:hAnsi="Times New Roman"/>
              </w:rPr>
              <w:t xml:space="preserve">nintedanib </w:t>
            </w:r>
            <w:r w:rsidRPr="00AB602C">
              <w:rPr>
                <w:rFonts w:ascii="Times New Roman" w:eastAsia="標楷體" w:hAnsi="Times New Roman"/>
              </w:rPr>
              <w:t>亦會抑制下列</w:t>
            </w:r>
            <w:r w:rsidRPr="00AB602C">
              <w:rPr>
                <w:rFonts w:ascii="Times New Roman" w:eastAsia="標楷體" w:hAnsi="Times New Roman"/>
              </w:rPr>
              <w:t>nRTK</w:t>
            </w:r>
            <w:r w:rsidRPr="00AB602C">
              <w:rPr>
                <w:rFonts w:ascii="Times New Roman" w:eastAsia="標楷體" w:hAnsi="Times New Roman"/>
              </w:rPr>
              <w:t>：</w:t>
            </w:r>
            <w:r w:rsidRPr="00AB602C">
              <w:rPr>
                <w:rFonts w:ascii="Times New Roman" w:eastAsia="標楷體" w:hAnsi="Times New Roman"/>
              </w:rPr>
              <w:t>Lck</w:t>
            </w:r>
            <w:r w:rsidRPr="00AB602C">
              <w:rPr>
                <w:rFonts w:ascii="Times New Roman" w:eastAsia="標楷體" w:hAnsi="Times New Roman"/>
              </w:rPr>
              <w:t>、</w:t>
            </w:r>
            <w:r>
              <w:rPr>
                <w:rFonts w:ascii="Times New Roman" w:eastAsia="標楷體" w:hAnsi="Times New Roman"/>
              </w:rPr>
              <w:t>Lyn</w:t>
            </w:r>
            <w:r w:rsidRPr="00AB602C">
              <w:rPr>
                <w:rFonts w:ascii="Times New Roman" w:eastAsia="標楷體" w:hAnsi="Times New Roman"/>
              </w:rPr>
              <w:t>與</w:t>
            </w:r>
            <w:r>
              <w:rPr>
                <w:rFonts w:ascii="Times New Roman" w:eastAsia="標楷體" w:hAnsi="Times New Roman"/>
              </w:rPr>
              <w:t>Src</w:t>
            </w:r>
            <w:r w:rsidRPr="00AB602C">
              <w:rPr>
                <w:rFonts w:ascii="Times New Roman" w:eastAsia="標楷體" w:hAnsi="Times New Roman"/>
              </w:rPr>
              <w:t>激酶。</w:t>
            </w:r>
            <w:r>
              <w:rPr>
                <w:rFonts w:ascii="Times New Roman" w:eastAsia="標楷體" w:hAnsi="Times New Roman"/>
              </w:rPr>
              <w:t>FLT3</w:t>
            </w:r>
            <w:r w:rsidRPr="00AB602C">
              <w:rPr>
                <w:rFonts w:ascii="Times New Roman" w:eastAsia="標楷體" w:hAnsi="Times New Roman"/>
              </w:rPr>
              <w:t>和</w:t>
            </w:r>
            <w:r>
              <w:rPr>
                <w:rFonts w:ascii="Times New Roman" w:eastAsia="標楷體" w:hAnsi="Times New Roman"/>
              </w:rPr>
              <w:t>nRTK</w:t>
            </w:r>
            <w:r w:rsidRPr="00AB602C">
              <w:rPr>
                <w:rFonts w:ascii="Times New Roman" w:eastAsia="標楷體" w:hAnsi="Times New Roman"/>
              </w:rPr>
              <w:t>抑制作用對於</w:t>
            </w:r>
            <w:r>
              <w:rPr>
                <w:rFonts w:ascii="Times New Roman" w:eastAsia="標楷體" w:hAnsi="Times New Roman"/>
              </w:rPr>
              <w:t>nintedanib</w:t>
            </w:r>
            <w:r w:rsidRPr="00AB602C">
              <w:rPr>
                <w:rFonts w:ascii="Times New Roman" w:eastAsia="標楷體" w:hAnsi="Times New Roman"/>
              </w:rPr>
              <w:t>在</w:t>
            </w:r>
            <w:r>
              <w:rPr>
                <w:rFonts w:ascii="Times New Roman" w:eastAsia="標楷體" w:hAnsi="Times New Roman"/>
              </w:rPr>
              <w:t>ILD</w:t>
            </w:r>
            <w:r>
              <w:rPr>
                <w:rFonts w:ascii="Times New Roman" w:eastAsia="標楷體" w:hAnsi="Times New Roman"/>
              </w:rPr>
              <w:t>的療效貢獻度不明</w:t>
            </w:r>
            <w:r w:rsidRPr="00AB602C">
              <w:rPr>
                <w:rFonts w:ascii="Times New Roman" w:eastAsia="標楷體" w:hAnsi="Times New Roman" w:hint="eastAsia"/>
              </w:rPr>
              <w:t>。</w:t>
            </w:r>
          </w:p>
        </w:tc>
      </w:tr>
      <w:tr w:rsidR="00DF2AEC" w:rsidRPr="00AB602C" w:rsidTr="00E1272F">
        <w:tc>
          <w:tcPr>
            <w:tcW w:w="970" w:type="dxa"/>
            <w:tcBorders>
              <w:bottom w:val="single" w:sz="4" w:space="0" w:color="auto"/>
            </w:tcBorders>
            <w:vAlign w:val="center"/>
          </w:tcPr>
          <w:p w:rsidR="00DF2AEC" w:rsidRPr="00386048" w:rsidRDefault="00DF2AEC" w:rsidP="00E1272F">
            <w:pPr>
              <w:widowControl/>
              <w:jc w:val="both"/>
              <w:rPr>
                <w:rFonts w:ascii="Times New Roman" w:eastAsia="標楷體" w:hAnsi="Times New Roman"/>
              </w:rPr>
            </w:pPr>
            <w:r w:rsidRPr="00386048">
              <w:rPr>
                <w:rFonts w:ascii="Times New Roman" w:eastAsia="標楷體" w:hAnsi="Times New Roman"/>
              </w:rPr>
              <w:t>適應症</w:t>
            </w:r>
          </w:p>
        </w:tc>
        <w:tc>
          <w:tcPr>
            <w:tcW w:w="14482" w:type="dxa"/>
            <w:tcBorders>
              <w:bottom w:val="single" w:sz="4" w:space="0" w:color="auto"/>
            </w:tcBorders>
          </w:tcPr>
          <w:p w:rsidR="00DF2AEC" w:rsidRPr="009D69A8" w:rsidRDefault="00DF2AEC" w:rsidP="003555E5">
            <w:pPr>
              <w:pStyle w:val="a9"/>
              <w:widowControl/>
              <w:numPr>
                <w:ilvl w:val="0"/>
                <w:numId w:val="10"/>
              </w:numPr>
              <w:ind w:leftChars="0"/>
              <w:rPr>
                <w:rFonts w:ascii="Times New Roman" w:eastAsia="標楷體" w:hAnsi="Times New Roman"/>
              </w:rPr>
            </w:pPr>
            <w:r w:rsidRPr="00AB602C">
              <w:rPr>
                <w:rFonts w:ascii="Times New Roman" w:eastAsia="標楷體" w:hAnsi="Times New Roman"/>
              </w:rPr>
              <w:t>適用於治療特發性肺纖維化</w:t>
            </w:r>
            <w:r w:rsidRPr="00AB602C">
              <w:rPr>
                <w:rFonts w:ascii="Times New Roman" w:eastAsia="標楷體" w:hAnsi="Times New Roman"/>
              </w:rPr>
              <w:t>(IPF)</w:t>
            </w:r>
            <w:r w:rsidRPr="00AB602C">
              <w:rPr>
                <w:rFonts w:ascii="Times New Roman" w:eastAsia="標楷體" w:hAnsi="Times New Roman" w:hint="eastAsia"/>
              </w:rPr>
              <w:t>。</w:t>
            </w:r>
          </w:p>
          <w:p w:rsidR="00DF2AEC" w:rsidRPr="00AB602C" w:rsidRDefault="00DF2AEC" w:rsidP="003555E5">
            <w:pPr>
              <w:pStyle w:val="a9"/>
              <w:widowControl/>
              <w:numPr>
                <w:ilvl w:val="0"/>
                <w:numId w:val="10"/>
              </w:numPr>
              <w:ind w:leftChars="0"/>
              <w:rPr>
                <w:rFonts w:ascii="Times New Roman" w:eastAsia="標楷體" w:hAnsi="Times New Roman"/>
              </w:rPr>
            </w:pPr>
            <w:r w:rsidRPr="00AB602C">
              <w:rPr>
                <w:rFonts w:ascii="Times New Roman" w:eastAsia="標楷體" w:hAnsi="Times New Roman"/>
              </w:rPr>
              <w:t>與全身性硬化症有關之間質性肺病</w:t>
            </w:r>
            <w:r>
              <w:rPr>
                <w:rFonts w:ascii="Times New Roman" w:eastAsia="標楷體" w:hAnsi="Times New Roman" w:hint="eastAsia"/>
              </w:rPr>
              <w:t>：</w:t>
            </w:r>
            <w:r w:rsidRPr="00AB602C">
              <w:rPr>
                <w:rFonts w:ascii="Times New Roman" w:eastAsia="標楷體" w:hAnsi="Times New Roman" w:hint="eastAsia"/>
              </w:rPr>
              <w:t>Nintedanib</w:t>
            </w:r>
            <w:r w:rsidRPr="00AB602C">
              <w:rPr>
                <w:rFonts w:ascii="Times New Roman" w:eastAsia="標楷體" w:hAnsi="Times New Roman"/>
              </w:rPr>
              <w:t>適用於減緩與全身性硬化症有關之間質性肺病</w:t>
            </w:r>
            <w:r w:rsidRPr="00AB602C">
              <w:rPr>
                <w:rFonts w:ascii="Times New Roman" w:eastAsia="標楷體" w:hAnsi="Times New Roman" w:hint="eastAsia"/>
              </w:rPr>
              <w:t>(</w:t>
            </w:r>
            <w:r w:rsidRPr="00AB602C">
              <w:rPr>
                <w:rFonts w:ascii="Times New Roman" w:eastAsia="標楷體" w:hAnsi="Times New Roman"/>
              </w:rPr>
              <w:t>SSc-ILD</w:t>
            </w:r>
            <w:r w:rsidRPr="00AB602C">
              <w:rPr>
                <w:rFonts w:ascii="Times New Roman" w:eastAsia="標楷體" w:hAnsi="Times New Roman" w:hint="eastAsia"/>
              </w:rPr>
              <w:t>)</w:t>
            </w:r>
            <w:r w:rsidRPr="00AB602C">
              <w:rPr>
                <w:rFonts w:ascii="Times New Roman" w:eastAsia="標楷體" w:hAnsi="Times New Roman"/>
              </w:rPr>
              <w:t>病人的肺功能下降速度。</w:t>
            </w:r>
          </w:p>
        </w:tc>
      </w:tr>
      <w:tr w:rsidR="00DF2AEC" w:rsidRPr="0001660E" w:rsidTr="00E1272F">
        <w:tc>
          <w:tcPr>
            <w:tcW w:w="15452" w:type="dxa"/>
            <w:gridSpan w:val="2"/>
            <w:tcBorders>
              <w:left w:val="nil"/>
              <w:right w:val="nil"/>
            </w:tcBorders>
          </w:tcPr>
          <w:p w:rsidR="00DF2AEC" w:rsidRPr="0001660E" w:rsidRDefault="00DF2AEC" w:rsidP="003555E5">
            <w:pPr>
              <w:pStyle w:val="a9"/>
              <w:widowControl/>
              <w:numPr>
                <w:ilvl w:val="0"/>
                <w:numId w:val="6"/>
              </w:numPr>
              <w:ind w:leftChars="0"/>
              <w:rPr>
                <w:rFonts w:ascii="Times New Roman" w:eastAsia="標楷體" w:hAnsi="Times New Roman"/>
                <w:b/>
              </w:rPr>
            </w:pPr>
            <w:r w:rsidRPr="0001660E">
              <w:rPr>
                <w:rFonts w:ascii="Times New Roman" w:eastAsia="標楷體"/>
                <w:b/>
                <w:bCs/>
                <w:color w:val="000000" w:themeColor="text1"/>
                <w:kern w:val="36"/>
                <w:lang w:bidi="hi-IN"/>
              </w:rPr>
              <w:t>Aflibercept</w:t>
            </w:r>
          </w:p>
        </w:tc>
      </w:tr>
      <w:tr w:rsidR="00DF2AEC" w:rsidRPr="00386048" w:rsidTr="00E1272F">
        <w:tc>
          <w:tcPr>
            <w:tcW w:w="970" w:type="dxa"/>
            <w:vAlign w:val="center"/>
          </w:tcPr>
          <w:p w:rsidR="00DF2AEC" w:rsidRPr="00386048" w:rsidRDefault="00DF2AEC" w:rsidP="00E1272F">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Pr>
          <w:p w:rsidR="00DF2AEC" w:rsidRPr="00386048" w:rsidRDefault="00DF2AEC" w:rsidP="00E1272F">
            <w:pPr>
              <w:widowControl/>
              <w:rPr>
                <w:rFonts w:ascii="Times New Roman" w:eastAsia="標楷體" w:hAnsi="Times New Roman"/>
              </w:rPr>
            </w:pPr>
            <w:r w:rsidRPr="00134E88">
              <w:rPr>
                <w:rFonts w:ascii="Times New Roman" w:eastAsia="標楷體" w:hAnsi="Times New Roman"/>
              </w:rPr>
              <w:t>Aflibercept</w:t>
            </w:r>
            <w:r w:rsidRPr="00134E88">
              <w:rPr>
                <w:rFonts w:ascii="Times New Roman" w:eastAsia="標楷體" w:hAnsi="Times New Roman"/>
              </w:rPr>
              <w:t>可與人類血管內皮生長因子</w:t>
            </w:r>
            <w:r w:rsidRPr="00134E88">
              <w:rPr>
                <w:rFonts w:ascii="Times New Roman" w:eastAsia="標楷體" w:hAnsi="Times New Roman"/>
              </w:rPr>
              <w:t>A</w:t>
            </w:r>
            <w:r w:rsidRPr="00134E88">
              <w:rPr>
                <w:rFonts w:ascii="Times New Roman" w:eastAsia="標楷體" w:hAnsi="Times New Roman"/>
              </w:rPr>
              <w:t>（</w:t>
            </w:r>
            <w:r w:rsidRPr="00134E88">
              <w:rPr>
                <w:rFonts w:ascii="Times New Roman" w:eastAsia="標楷體" w:hAnsi="Times New Roman"/>
              </w:rPr>
              <w:t>VEGF-A</w:t>
            </w:r>
            <w:r w:rsidRPr="00134E88">
              <w:rPr>
                <w:rFonts w:ascii="Times New Roman" w:eastAsia="標楷體" w:hAnsi="Times New Roman"/>
              </w:rPr>
              <w:t>）、人類血管內皮生長因子</w:t>
            </w:r>
            <w:r w:rsidRPr="00134E88">
              <w:rPr>
                <w:rFonts w:ascii="Times New Roman" w:eastAsia="標楷體" w:hAnsi="Times New Roman"/>
              </w:rPr>
              <w:t xml:space="preserve"> B</w:t>
            </w:r>
            <w:r w:rsidRPr="00134E88">
              <w:rPr>
                <w:rFonts w:ascii="Times New Roman" w:eastAsia="標楷體" w:hAnsi="Times New Roman"/>
              </w:rPr>
              <w:t>（</w:t>
            </w:r>
            <w:r w:rsidRPr="00134E88">
              <w:rPr>
                <w:rFonts w:ascii="Times New Roman" w:eastAsia="標楷體" w:hAnsi="Times New Roman"/>
              </w:rPr>
              <w:t>VEGF-B</w:t>
            </w:r>
            <w:r w:rsidRPr="00134E88">
              <w:rPr>
                <w:rFonts w:ascii="Times New Roman" w:eastAsia="標楷體" w:hAnsi="Times New Roman"/>
              </w:rPr>
              <w:t>）及人類胎盤生長因子（</w:t>
            </w:r>
            <w:r w:rsidRPr="00134E88">
              <w:rPr>
                <w:rFonts w:ascii="Times New Roman" w:eastAsia="標楷體" w:hAnsi="Times New Roman"/>
              </w:rPr>
              <w:t>PlGF</w:t>
            </w:r>
            <w:r w:rsidRPr="00134E88">
              <w:rPr>
                <w:rFonts w:ascii="Times New Roman" w:eastAsia="標楷體" w:hAnsi="Times New Roman"/>
              </w:rPr>
              <w:t>）鍵結。藉由</w:t>
            </w:r>
            <w:r>
              <w:rPr>
                <w:rFonts w:ascii="Times New Roman" w:eastAsia="標楷體" w:hAnsi="Times New Roman"/>
              </w:rPr>
              <w:t>與這些內生性配體</w:t>
            </w:r>
            <w:r>
              <w:rPr>
                <w:rFonts w:ascii="Times New Roman" w:eastAsia="標楷體" w:hAnsi="Times New Roman" w:hint="eastAsia"/>
              </w:rPr>
              <w:t>(</w:t>
            </w:r>
            <w:r w:rsidRPr="00134E88">
              <w:rPr>
                <w:rFonts w:ascii="Times New Roman" w:eastAsia="標楷體" w:hAnsi="Times New Roman"/>
              </w:rPr>
              <w:t>endogenous ligands</w:t>
            </w:r>
            <w:r>
              <w:rPr>
                <w:rFonts w:ascii="Times New Roman" w:eastAsia="標楷體" w:hAnsi="Times New Roman" w:hint="eastAsia"/>
              </w:rPr>
              <w:t>)</w:t>
            </w:r>
            <w:r w:rsidRPr="00134E88">
              <w:rPr>
                <w:rFonts w:ascii="Times New Roman" w:eastAsia="標楷體" w:hAnsi="Times New Roman"/>
              </w:rPr>
              <w:t>的鍵結，</w:t>
            </w:r>
            <w:r>
              <w:rPr>
                <w:rFonts w:ascii="Times New Roman" w:eastAsia="標楷體" w:hAnsi="Times New Roman"/>
              </w:rPr>
              <w:t>aflibercept</w:t>
            </w:r>
            <w:r w:rsidRPr="00134E88">
              <w:rPr>
                <w:rFonts w:ascii="Times New Roman" w:eastAsia="標楷體" w:hAnsi="Times New Roman"/>
              </w:rPr>
              <w:t>可抑制其同源受體的鍵結及活化。這種抑制作用會減少新血管的形成並降低血管的通透性。從動物試驗的結果可看出，</w:t>
            </w:r>
            <w:r w:rsidRPr="00134E88">
              <w:rPr>
                <w:rFonts w:ascii="Times New Roman" w:eastAsia="標楷體" w:hAnsi="Times New Roman"/>
              </w:rPr>
              <w:t>aflibercept</w:t>
            </w:r>
            <w:r w:rsidRPr="00134E88">
              <w:rPr>
                <w:rFonts w:ascii="Times New Roman" w:eastAsia="標楷體" w:hAnsi="Times New Roman"/>
              </w:rPr>
              <w:t>會抑制內皮細胞</w:t>
            </w:r>
            <w:r>
              <w:rPr>
                <w:rFonts w:ascii="Times New Roman" w:eastAsia="標楷體" w:hAnsi="Times New Roman"/>
              </w:rPr>
              <w:t>的增生，因此</w:t>
            </w:r>
            <w:r w:rsidRPr="00134E88">
              <w:rPr>
                <w:rFonts w:ascii="Times New Roman" w:eastAsia="標楷體" w:hAnsi="Times New Roman"/>
              </w:rPr>
              <w:t>抑制新血管的生長。</w:t>
            </w:r>
            <w:r>
              <w:rPr>
                <w:rFonts w:ascii="Times New Roman" w:eastAsia="標楷體" w:hAnsi="Times New Roman" w:hint="eastAsia"/>
              </w:rPr>
              <w:t>A</w:t>
            </w:r>
            <w:r>
              <w:rPr>
                <w:rFonts w:ascii="Times New Roman" w:eastAsia="標楷體" w:hAnsi="Times New Roman"/>
              </w:rPr>
              <w:t>flibercept</w:t>
            </w:r>
            <w:r w:rsidRPr="00134E88">
              <w:rPr>
                <w:rFonts w:ascii="Times New Roman" w:eastAsia="標楷體" w:hAnsi="Times New Roman"/>
              </w:rPr>
              <w:t>對小鼠異種移植之結腸腫瘤有抑制生長作用。</w:t>
            </w:r>
          </w:p>
        </w:tc>
      </w:tr>
      <w:tr w:rsidR="00DF2AEC" w:rsidRPr="00090A77" w:rsidTr="00E1272F">
        <w:tc>
          <w:tcPr>
            <w:tcW w:w="970" w:type="dxa"/>
            <w:tcBorders>
              <w:bottom w:val="single" w:sz="4" w:space="0" w:color="auto"/>
            </w:tcBorders>
            <w:vAlign w:val="center"/>
          </w:tcPr>
          <w:p w:rsidR="00DF2AEC" w:rsidRPr="00386048" w:rsidRDefault="00DF2AEC" w:rsidP="00E1272F">
            <w:pPr>
              <w:widowControl/>
              <w:jc w:val="both"/>
              <w:rPr>
                <w:rFonts w:ascii="Times New Roman" w:eastAsia="標楷體" w:hAnsi="Times New Roman"/>
              </w:rPr>
            </w:pPr>
            <w:r w:rsidRPr="00386048">
              <w:rPr>
                <w:rFonts w:ascii="Times New Roman" w:eastAsia="標楷體" w:hAnsi="Times New Roman"/>
              </w:rPr>
              <w:t>適應症</w:t>
            </w:r>
          </w:p>
        </w:tc>
        <w:tc>
          <w:tcPr>
            <w:tcW w:w="14482" w:type="dxa"/>
            <w:tcBorders>
              <w:bottom w:val="single" w:sz="4" w:space="0" w:color="auto"/>
            </w:tcBorders>
          </w:tcPr>
          <w:p w:rsidR="00DF2AEC" w:rsidRPr="00090A77" w:rsidRDefault="00DF2AEC" w:rsidP="00E1272F">
            <w:pPr>
              <w:widowControl/>
              <w:tabs>
                <w:tab w:val="left" w:pos="3255"/>
              </w:tabs>
              <w:rPr>
                <w:rFonts w:ascii="Times New Roman" w:eastAsia="標楷體" w:hAnsi="Times New Roman"/>
              </w:rPr>
            </w:pPr>
            <w:r w:rsidRPr="00090A77">
              <w:rPr>
                <w:rFonts w:ascii="Times New Roman" w:eastAsia="標楷體" w:hAnsi="Times New Roman"/>
              </w:rPr>
              <w:t>轉移性大腸直腸癌</w:t>
            </w:r>
            <w:r>
              <w:rPr>
                <w:rFonts w:ascii="Times New Roman" w:eastAsia="標楷體" w:hAnsi="Times New Roman" w:hint="eastAsia"/>
              </w:rPr>
              <w:t>：</w:t>
            </w:r>
            <w:r w:rsidRPr="00090A77">
              <w:rPr>
                <w:rFonts w:ascii="Times New Roman" w:eastAsia="標楷體" w:hAnsi="Times New Roman"/>
              </w:rPr>
              <w:t>與</w:t>
            </w:r>
            <w:r w:rsidRPr="00090A77">
              <w:rPr>
                <w:rFonts w:ascii="Times New Roman" w:eastAsia="標楷體" w:hAnsi="Times New Roman"/>
              </w:rPr>
              <w:t>5-fluorouracil</w:t>
            </w:r>
            <w:r w:rsidRPr="00090A77">
              <w:rPr>
                <w:rFonts w:ascii="Times New Roman" w:eastAsia="標楷體" w:hAnsi="Times New Roman"/>
              </w:rPr>
              <w:t>、</w:t>
            </w:r>
            <w:r w:rsidRPr="00090A77">
              <w:rPr>
                <w:rFonts w:ascii="Times New Roman" w:eastAsia="標楷體" w:hAnsi="Times New Roman"/>
              </w:rPr>
              <w:t>leucovorin</w:t>
            </w:r>
            <w:r w:rsidRPr="00090A77">
              <w:rPr>
                <w:rFonts w:ascii="Times New Roman" w:eastAsia="標楷體" w:hAnsi="Times New Roman"/>
              </w:rPr>
              <w:t>、</w:t>
            </w:r>
            <w:r w:rsidRPr="00090A77">
              <w:rPr>
                <w:rFonts w:ascii="Times New Roman" w:eastAsia="標楷體" w:hAnsi="Times New Roman"/>
              </w:rPr>
              <w:t xml:space="preserve">irinotecan-(FOLFIRI) </w:t>
            </w:r>
            <w:r w:rsidRPr="00090A77">
              <w:rPr>
                <w:rFonts w:ascii="Times New Roman" w:eastAsia="標楷體" w:hAnsi="Times New Roman"/>
              </w:rPr>
              <w:t>合併使用，治療已使用含有</w:t>
            </w:r>
            <w:r w:rsidRPr="00090A77">
              <w:rPr>
                <w:rFonts w:ascii="Times New Roman" w:eastAsia="標楷體" w:hAnsi="Times New Roman"/>
              </w:rPr>
              <w:t>oxaliplatin</w:t>
            </w:r>
            <w:r w:rsidRPr="00090A77">
              <w:rPr>
                <w:rFonts w:ascii="Times New Roman" w:eastAsia="標楷體" w:hAnsi="Times New Roman"/>
              </w:rPr>
              <w:t>化學療法無效或惡化之轉移性大腸直腸癌病人。</w:t>
            </w:r>
          </w:p>
        </w:tc>
      </w:tr>
      <w:tr w:rsidR="0077391B" w:rsidRPr="0001660E" w:rsidTr="00E1272F">
        <w:tc>
          <w:tcPr>
            <w:tcW w:w="15452" w:type="dxa"/>
            <w:gridSpan w:val="2"/>
            <w:tcBorders>
              <w:top w:val="nil"/>
              <w:left w:val="nil"/>
              <w:right w:val="nil"/>
            </w:tcBorders>
          </w:tcPr>
          <w:p w:rsidR="0077391B" w:rsidRPr="0001660E" w:rsidRDefault="0077391B" w:rsidP="003555E5">
            <w:pPr>
              <w:pStyle w:val="a9"/>
              <w:widowControl/>
              <w:numPr>
                <w:ilvl w:val="0"/>
                <w:numId w:val="6"/>
              </w:numPr>
              <w:ind w:leftChars="0"/>
              <w:rPr>
                <w:rFonts w:ascii="Times New Roman" w:eastAsia="標楷體" w:hAnsi="Times New Roman"/>
                <w:b/>
                <w:color w:val="000000" w:themeColor="text1"/>
                <w:szCs w:val="24"/>
              </w:rPr>
            </w:pPr>
            <w:r w:rsidRPr="00F87693">
              <w:rPr>
                <w:rFonts w:ascii="Times New Roman" w:eastAsia="標楷體"/>
                <w:b/>
                <w:bCs/>
                <w:color w:val="000000" w:themeColor="text1"/>
                <w:kern w:val="36"/>
                <w:lang w:bidi="hi-IN"/>
              </w:rPr>
              <w:t>Bevacizumab</w:t>
            </w:r>
          </w:p>
        </w:tc>
      </w:tr>
      <w:tr w:rsidR="0077391B" w:rsidRPr="00386048" w:rsidTr="00E1272F">
        <w:tc>
          <w:tcPr>
            <w:tcW w:w="970" w:type="dxa"/>
            <w:vAlign w:val="center"/>
          </w:tcPr>
          <w:p w:rsidR="0077391B" w:rsidRPr="00386048" w:rsidRDefault="0077391B" w:rsidP="0077391B">
            <w:pPr>
              <w:widowControl/>
              <w:jc w:val="both"/>
              <w:rPr>
                <w:rFonts w:ascii="Times New Roman" w:eastAsia="標楷體" w:hAnsi="Times New Roman"/>
                <w:color w:val="000000" w:themeColor="text1"/>
                <w:szCs w:val="24"/>
              </w:rPr>
            </w:pPr>
            <w:r w:rsidRPr="00386048">
              <w:rPr>
                <w:rFonts w:ascii="Times New Roman" w:eastAsia="標楷體" w:hAnsi="Times New Roman"/>
                <w:color w:val="000000" w:themeColor="text1"/>
                <w:szCs w:val="24"/>
              </w:rPr>
              <w:t>機轉</w:t>
            </w:r>
          </w:p>
        </w:tc>
        <w:tc>
          <w:tcPr>
            <w:tcW w:w="14482" w:type="dxa"/>
          </w:tcPr>
          <w:p w:rsidR="0077391B" w:rsidRPr="002265C2" w:rsidRDefault="0077391B" w:rsidP="0077391B">
            <w:pPr>
              <w:widowControl/>
              <w:rPr>
                <w:rFonts w:ascii="Times New Roman" w:eastAsia="標楷體" w:hAnsi="Times New Roman"/>
              </w:rPr>
            </w:pPr>
            <w:r>
              <w:rPr>
                <w:rFonts w:ascii="Times New Roman" w:eastAsia="標楷體" w:hAnsi="Times New Roman"/>
              </w:rPr>
              <w:t>Bevacizumab</w:t>
            </w:r>
            <w:r w:rsidRPr="002265C2">
              <w:rPr>
                <w:rFonts w:ascii="Times New Roman" w:eastAsia="標楷體" w:hAnsi="Times New Roman"/>
              </w:rPr>
              <w:t>是一種重組的人化單株抗體，可選擇性地結合至人類血管內皮生長因子</w:t>
            </w:r>
            <w:r w:rsidRPr="002265C2">
              <w:rPr>
                <w:rFonts w:ascii="Times New Roman" w:eastAsia="標楷體" w:hAnsi="Times New Roman"/>
              </w:rPr>
              <w:t>(VEGF)</w:t>
            </w:r>
            <w:r w:rsidRPr="002265C2">
              <w:rPr>
                <w:rFonts w:ascii="Times New Roman" w:eastAsia="標楷體" w:hAnsi="Times New Roman"/>
              </w:rPr>
              <w:t>並中和其生物活性。</w:t>
            </w:r>
            <w:r w:rsidRPr="002265C2">
              <w:rPr>
                <w:rFonts w:ascii="Times New Roman" w:eastAsia="標楷體" w:hAnsi="Times New Roman"/>
              </w:rPr>
              <w:t>Bevacizumab</w:t>
            </w:r>
            <w:r w:rsidRPr="002265C2">
              <w:rPr>
                <w:rFonts w:ascii="Times New Roman" w:eastAsia="標楷體" w:hAnsi="Times New Roman"/>
              </w:rPr>
              <w:t>會抑制</w:t>
            </w:r>
            <w:r w:rsidRPr="002265C2">
              <w:rPr>
                <w:rFonts w:ascii="Times New Roman" w:eastAsia="標楷體" w:hAnsi="Times New Roman"/>
              </w:rPr>
              <w:t>VEGF</w:t>
            </w:r>
            <w:r w:rsidRPr="002265C2">
              <w:rPr>
                <w:rFonts w:ascii="Times New Roman" w:eastAsia="標楷體" w:hAnsi="Times New Roman"/>
              </w:rPr>
              <w:t>與位於內皮細胞表面上的受體</w:t>
            </w:r>
            <w:r w:rsidRPr="002265C2">
              <w:rPr>
                <w:rFonts w:ascii="Times New Roman" w:eastAsia="標楷體" w:hAnsi="Times New Roman"/>
              </w:rPr>
              <w:t>Flt-1</w:t>
            </w:r>
            <w:r w:rsidRPr="002265C2">
              <w:rPr>
                <w:rFonts w:ascii="Times New Roman" w:eastAsia="標楷體" w:hAnsi="Times New Roman"/>
              </w:rPr>
              <w:t>及</w:t>
            </w:r>
            <w:r w:rsidRPr="002265C2">
              <w:rPr>
                <w:rFonts w:ascii="Times New Roman" w:eastAsia="標楷體" w:hAnsi="Times New Roman"/>
              </w:rPr>
              <w:t>KDR</w:t>
            </w:r>
            <w:r w:rsidRPr="002265C2">
              <w:rPr>
                <w:rFonts w:ascii="Times New Roman" w:eastAsia="標楷體" w:hAnsi="Times New Roman"/>
              </w:rPr>
              <w:t>結合，中和</w:t>
            </w:r>
            <w:r w:rsidRPr="002265C2">
              <w:rPr>
                <w:rFonts w:ascii="Times New Roman" w:eastAsia="標楷體" w:hAnsi="Times New Roman"/>
              </w:rPr>
              <w:t>VEGF</w:t>
            </w:r>
            <w:r w:rsidRPr="002265C2">
              <w:rPr>
                <w:rFonts w:ascii="Times New Roman" w:eastAsia="標楷體" w:hAnsi="Times New Roman"/>
              </w:rPr>
              <w:t>的生物活性而降低腫瘤的血管形成，藉此抑制腫瘤的生長。由罹患癌症裸鼠的異種移植癌症模式在投予</w:t>
            </w:r>
            <w:r w:rsidRPr="002265C2">
              <w:rPr>
                <w:rFonts w:ascii="Times New Roman" w:eastAsia="標楷體" w:hAnsi="Times New Roman"/>
              </w:rPr>
              <w:t>bevacizumab</w:t>
            </w:r>
            <w:r w:rsidRPr="002265C2">
              <w:rPr>
                <w:rFonts w:ascii="Times New Roman" w:eastAsia="標楷體" w:hAnsi="Times New Roman"/>
              </w:rPr>
              <w:t>或其母鼠抗體治療之結果可得知其對人類的癌症包括大腸癌、乳癌、胰臟癌及前列腺癌等</w:t>
            </w:r>
            <w:r>
              <w:rPr>
                <w:rFonts w:ascii="Times New Roman" w:eastAsia="標楷體" w:hAnsi="Times New Roman" w:hint="eastAsia"/>
              </w:rPr>
              <w:t>具</w:t>
            </w:r>
            <w:r w:rsidRPr="002265C2">
              <w:rPr>
                <w:rFonts w:ascii="Times New Roman" w:eastAsia="標楷體" w:hAnsi="Times New Roman"/>
              </w:rPr>
              <w:t>廣泛的抗腫瘤活性，</w:t>
            </w:r>
            <w:r>
              <w:rPr>
                <w:rFonts w:ascii="Times New Roman" w:eastAsia="標楷體" w:hAnsi="Times New Roman" w:hint="eastAsia"/>
              </w:rPr>
              <w:t>且能抑制</w:t>
            </w:r>
            <w:r w:rsidRPr="002265C2">
              <w:rPr>
                <w:rFonts w:ascii="Times New Roman" w:eastAsia="標楷體" w:hAnsi="Times New Roman"/>
              </w:rPr>
              <w:t>轉移性疾病的進行</w:t>
            </w:r>
            <w:r>
              <w:rPr>
                <w:rFonts w:ascii="Times New Roman" w:eastAsia="標楷體" w:hAnsi="Times New Roman" w:hint="eastAsia"/>
              </w:rPr>
              <w:t>並降低</w:t>
            </w:r>
            <w:r w:rsidRPr="002265C2">
              <w:rPr>
                <w:rFonts w:ascii="Times New Roman" w:eastAsia="標楷體" w:hAnsi="Times New Roman"/>
              </w:rPr>
              <w:t>微血管的通透性。</w:t>
            </w:r>
          </w:p>
        </w:tc>
      </w:tr>
      <w:tr w:rsidR="0077391B" w:rsidRPr="0058462B" w:rsidTr="00E1272F">
        <w:tc>
          <w:tcPr>
            <w:tcW w:w="970" w:type="dxa"/>
            <w:tcBorders>
              <w:bottom w:val="single" w:sz="4" w:space="0" w:color="auto"/>
            </w:tcBorders>
            <w:vAlign w:val="center"/>
          </w:tcPr>
          <w:p w:rsidR="0077391B" w:rsidRPr="00386048" w:rsidRDefault="0077391B" w:rsidP="0077391B">
            <w:pPr>
              <w:widowControl/>
              <w:jc w:val="both"/>
              <w:rPr>
                <w:rFonts w:ascii="Times New Roman" w:eastAsia="標楷體" w:hAnsi="Times New Roman"/>
              </w:rPr>
            </w:pPr>
            <w:r w:rsidRPr="00386048">
              <w:rPr>
                <w:rFonts w:ascii="Times New Roman" w:eastAsia="標楷體" w:hAnsi="Times New Roman"/>
              </w:rPr>
              <w:t>適應症</w:t>
            </w:r>
          </w:p>
        </w:tc>
        <w:tc>
          <w:tcPr>
            <w:tcW w:w="14482" w:type="dxa"/>
            <w:tcBorders>
              <w:bottom w:val="single" w:sz="4" w:space="0" w:color="auto"/>
            </w:tcBorders>
          </w:tcPr>
          <w:p w:rsidR="0077391B" w:rsidRDefault="0077391B" w:rsidP="003555E5">
            <w:pPr>
              <w:pStyle w:val="a9"/>
              <w:widowControl/>
              <w:numPr>
                <w:ilvl w:val="0"/>
                <w:numId w:val="16"/>
              </w:numPr>
              <w:ind w:leftChars="0"/>
              <w:rPr>
                <w:rFonts w:ascii="Times New Roman" w:eastAsia="標楷體" w:hAnsi="Times New Roman"/>
              </w:rPr>
            </w:pPr>
            <w:r w:rsidRPr="00AA2ED0">
              <w:rPr>
                <w:rFonts w:ascii="Times New Roman" w:eastAsia="標楷體" w:hAnsi="Times New Roman"/>
              </w:rPr>
              <w:t>轉移性大腸直腸癌</w:t>
            </w:r>
            <w:r w:rsidRPr="00AA2ED0">
              <w:rPr>
                <w:rFonts w:ascii="Times New Roman" w:eastAsia="標楷體" w:hAnsi="Times New Roman"/>
              </w:rPr>
              <w:t xml:space="preserve"> (mCRC)</w:t>
            </w:r>
            <w:r>
              <w:rPr>
                <w:rFonts w:ascii="Times New Roman" w:eastAsia="標楷體" w:hAnsi="Times New Roman" w:hint="eastAsia"/>
              </w:rPr>
              <w:t>：</w:t>
            </w:r>
          </w:p>
          <w:p w:rsidR="0077391B" w:rsidRPr="00AA2ED0" w:rsidRDefault="0077391B" w:rsidP="003555E5">
            <w:pPr>
              <w:pStyle w:val="a9"/>
              <w:widowControl/>
              <w:numPr>
                <w:ilvl w:val="0"/>
                <w:numId w:val="17"/>
              </w:numPr>
              <w:ind w:leftChars="0"/>
              <w:rPr>
                <w:rFonts w:ascii="Times New Roman" w:eastAsia="標楷體" w:hAnsi="Times New Roman"/>
              </w:rPr>
            </w:pPr>
            <w:r w:rsidRPr="00AA2ED0">
              <w:rPr>
                <w:rFonts w:ascii="Times New Roman" w:eastAsia="標楷體" w:hAnsi="Times New Roman"/>
              </w:rPr>
              <w:t>Bevacizumab</w:t>
            </w:r>
            <w:r w:rsidRPr="00AA2ED0">
              <w:rPr>
                <w:rFonts w:ascii="Times New Roman" w:eastAsia="標楷體" w:hAnsi="Times New Roman"/>
              </w:rPr>
              <w:t>與含有</w:t>
            </w:r>
            <w:r w:rsidRPr="00AA2ED0">
              <w:rPr>
                <w:rFonts w:ascii="Times New Roman" w:eastAsia="標楷體" w:hAnsi="Times New Roman"/>
              </w:rPr>
              <w:t>5-fluorouracil</w:t>
            </w:r>
            <w:r w:rsidRPr="00AA2ED0">
              <w:rPr>
                <w:rFonts w:ascii="Times New Roman" w:eastAsia="標楷體" w:hAnsi="Times New Roman"/>
              </w:rPr>
              <w:t>為基礎的化學療法合併使用，可以作為轉移性大腸或直腸癌病人的第一線治療。</w:t>
            </w:r>
          </w:p>
          <w:p w:rsidR="0077391B" w:rsidRPr="00AA2ED0" w:rsidRDefault="0077391B" w:rsidP="003555E5">
            <w:pPr>
              <w:pStyle w:val="a9"/>
              <w:widowControl/>
              <w:numPr>
                <w:ilvl w:val="0"/>
                <w:numId w:val="17"/>
              </w:numPr>
              <w:ind w:leftChars="0"/>
              <w:rPr>
                <w:rFonts w:ascii="Times New Roman" w:eastAsia="標楷體" w:hAnsi="Times New Roman"/>
              </w:rPr>
            </w:pPr>
            <w:r w:rsidRPr="00AA2ED0">
              <w:rPr>
                <w:rFonts w:ascii="Times New Roman" w:eastAsia="標楷體" w:hAnsi="Times New Roman"/>
              </w:rPr>
              <w:t>Bevacizumab</w:t>
            </w:r>
            <w:r w:rsidRPr="00AA2ED0">
              <w:rPr>
                <w:rFonts w:ascii="Times New Roman" w:eastAsia="標楷體" w:hAnsi="Times New Roman"/>
              </w:rPr>
              <w:t>與含有</w:t>
            </w:r>
            <w:r w:rsidRPr="00AA2ED0">
              <w:rPr>
                <w:rFonts w:ascii="Times New Roman" w:eastAsia="標楷體" w:hAnsi="Times New Roman"/>
              </w:rPr>
              <w:t>5-fluorouracil/leucovorin/oxaliplatin</w:t>
            </w:r>
            <w:r w:rsidRPr="00AA2ED0">
              <w:rPr>
                <w:rFonts w:ascii="Times New Roman" w:eastAsia="標楷體" w:hAnsi="Times New Roman"/>
              </w:rPr>
              <w:t>的化學療法合併使用，可以作為先前接受過以</w:t>
            </w:r>
            <w:r w:rsidRPr="00AA2ED0">
              <w:rPr>
                <w:rFonts w:ascii="Times New Roman" w:eastAsia="標楷體" w:hAnsi="Times New Roman"/>
              </w:rPr>
              <w:t>fluoropyrimidine</w:t>
            </w:r>
            <w:r w:rsidRPr="00AA2ED0">
              <w:rPr>
                <w:rFonts w:ascii="Times New Roman" w:eastAsia="標楷體" w:hAnsi="Times New Roman"/>
              </w:rPr>
              <w:t>為基礎的化學療法無效且未曾接受過</w:t>
            </w:r>
            <w:r w:rsidRPr="00AA2ED0">
              <w:rPr>
                <w:rFonts w:ascii="Times New Roman" w:eastAsia="標楷體" w:hAnsi="Times New Roman"/>
              </w:rPr>
              <w:t>bevacizumab</w:t>
            </w:r>
            <w:r w:rsidRPr="00AA2ED0">
              <w:rPr>
                <w:rFonts w:ascii="Times New Roman" w:eastAsia="標楷體" w:hAnsi="Times New Roman"/>
              </w:rPr>
              <w:t>治療的轉移性大腸或直腸癌病人的治療。</w:t>
            </w:r>
          </w:p>
          <w:p w:rsidR="0077391B" w:rsidRPr="00AA2ED0" w:rsidRDefault="0077391B" w:rsidP="003555E5">
            <w:pPr>
              <w:pStyle w:val="a9"/>
              <w:widowControl/>
              <w:numPr>
                <w:ilvl w:val="0"/>
                <w:numId w:val="17"/>
              </w:numPr>
              <w:ind w:leftChars="0"/>
              <w:rPr>
                <w:rFonts w:ascii="Times New Roman" w:eastAsia="標楷體" w:hAnsi="Times New Roman"/>
              </w:rPr>
            </w:pPr>
            <w:r w:rsidRPr="00AA2ED0">
              <w:rPr>
                <w:rFonts w:ascii="Times New Roman" w:eastAsia="標楷體" w:hAnsi="Times New Roman"/>
              </w:rPr>
              <w:t>Bevacizumab</w:t>
            </w:r>
            <w:r w:rsidRPr="00AA2ED0">
              <w:rPr>
                <w:rFonts w:ascii="Times New Roman" w:eastAsia="標楷體" w:hAnsi="Times New Roman"/>
              </w:rPr>
              <w:t>與含有</w:t>
            </w:r>
            <w:r w:rsidRPr="00AA2ED0">
              <w:rPr>
                <w:rFonts w:ascii="Times New Roman" w:eastAsia="標楷體" w:hAnsi="Times New Roman"/>
              </w:rPr>
              <w:t>fluoropyrimidine-irinotecan-</w:t>
            </w:r>
            <w:r w:rsidRPr="00AA2ED0">
              <w:rPr>
                <w:rFonts w:ascii="Times New Roman" w:eastAsia="標楷體" w:hAnsi="Times New Roman"/>
              </w:rPr>
              <w:t>或</w:t>
            </w:r>
            <w:r w:rsidRPr="00AA2ED0">
              <w:rPr>
                <w:rFonts w:ascii="Times New Roman" w:eastAsia="標楷體" w:hAnsi="Times New Roman"/>
              </w:rPr>
              <w:t>fluoropyrimidineoxaliplatin-</w:t>
            </w:r>
            <w:r w:rsidRPr="00AA2ED0">
              <w:rPr>
                <w:rFonts w:ascii="Times New Roman" w:eastAsia="標楷體" w:hAnsi="Times New Roman"/>
              </w:rPr>
              <w:t>為基礎的化學療法合併使用，可以做為第一線已接受過以</w:t>
            </w:r>
            <w:r w:rsidRPr="00AA2ED0">
              <w:rPr>
                <w:rFonts w:ascii="Times New Roman" w:eastAsia="標楷體" w:hAnsi="Times New Roman"/>
              </w:rPr>
              <w:t>bevacizumab</w:t>
            </w:r>
            <w:r w:rsidRPr="00AA2ED0">
              <w:rPr>
                <w:rFonts w:ascii="Times New Roman" w:eastAsia="標楷體" w:hAnsi="Times New Roman"/>
              </w:rPr>
              <w:t>併用化療後惡化之轉移性大腸或直腸癌病人的第二線治療。</w:t>
            </w:r>
          </w:p>
          <w:p w:rsidR="0077391B" w:rsidRDefault="0077391B" w:rsidP="003555E5">
            <w:pPr>
              <w:pStyle w:val="a9"/>
              <w:widowControl/>
              <w:numPr>
                <w:ilvl w:val="0"/>
                <w:numId w:val="16"/>
              </w:numPr>
              <w:ind w:leftChars="0"/>
              <w:rPr>
                <w:rFonts w:ascii="Times New Roman" w:eastAsia="標楷體" w:hAnsi="Times New Roman"/>
              </w:rPr>
            </w:pPr>
            <w:r w:rsidRPr="00AA2ED0">
              <w:rPr>
                <w:rFonts w:ascii="Times New Roman" w:eastAsia="標楷體" w:hAnsi="Times New Roman"/>
              </w:rPr>
              <w:t>轉移性乳癌</w:t>
            </w:r>
            <w:r w:rsidRPr="00AA2ED0">
              <w:rPr>
                <w:rFonts w:ascii="Times New Roman" w:eastAsia="標楷體" w:hAnsi="Times New Roman"/>
              </w:rPr>
              <w:t>(mBC)</w:t>
            </w:r>
            <w:r>
              <w:rPr>
                <w:rFonts w:ascii="Times New Roman" w:eastAsia="標楷體" w:hAnsi="Times New Roman" w:hint="eastAsia"/>
              </w:rPr>
              <w:t>：</w:t>
            </w:r>
            <w:r w:rsidRPr="00AA2ED0">
              <w:rPr>
                <w:rFonts w:ascii="Times New Roman" w:eastAsia="標楷體" w:hAnsi="Times New Roman"/>
              </w:rPr>
              <w:t>Bevacizumab</w:t>
            </w:r>
            <w:r w:rsidRPr="00AA2ED0">
              <w:rPr>
                <w:rFonts w:ascii="Times New Roman" w:eastAsia="標楷體" w:hAnsi="Times New Roman"/>
              </w:rPr>
              <w:t>與</w:t>
            </w:r>
            <w:r w:rsidRPr="00AA2ED0">
              <w:rPr>
                <w:rFonts w:ascii="Times New Roman" w:eastAsia="標楷體" w:hAnsi="Times New Roman"/>
              </w:rPr>
              <w:t>paclitaxel</w:t>
            </w:r>
            <w:r w:rsidRPr="00AA2ED0">
              <w:rPr>
                <w:rFonts w:ascii="Times New Roman" w:eastAsia="標楷體" w:hAnsi="Times New Roman"/>
              </w:rPr>
              <w:t>合併使用，可以做為</w:t>
            </w:r>
            <w:r w:rsidRPr="00AA2ED0">
              <w:rPr>
                <w:rFonts w:ascii="Times New Roman" w:eastAsia="標楷體" w:hAnsi="Times New Roman"/>
              </w:rPr>
              <w:t>HER2 (-)</w:t>
            </w:r>
            <w:r w:rsidRPr="00AA2ED0">
              <w:rPr>
                <w:rFonts w:ascii="Times New Roman" w:eastAsia="標楷體" w:hAnsi="Times New Roman"/>
              </w:rPr>
              <w:t>轉移性乳癌病人的第一線治療。</w:t>
            </w:r>
          </w:p>
          <w:p w:rsidR="0077391B" w:rsidRDefault="0077391B" w:rsidP="003555E5">
            <w:pPr>
              <w:pStyle w:val="a9"/>
              <w:widowControl/>
              <w:numPr>
                <w:ilvl w:val="0"/>
                <w:numId w:val="16"/>
              </w:numPr>
              <w:ind w:leftChars="0"/>
              <w:rPr>
                <w:rFonts w:ascii="Times New Roman" w:eastAsia="標楷體" w:hAnsi="Times New Roman"/>
              </w:rPr>
            </w:pPr>
            <w:r w:rsidRPr="00AA2ED0">
              <w:rPr>
                <w:rFonts w:ascii="Times New Roman" w:eastAsia="標楷體" w:hAnsi="Times New Roman"/>
              </w:rPr>
              <w:lastRenderedPageBreak/>
              <w:t>惡性神經膠質瘤</w:t>
            </w:r>
            <w:r w:rsidRPr="00AA2ED0">
              <w:rPr>
                <w:rFonts w:ascii="Times New Roman" w:eastAsia="標楷體" w:hAnsi="Times New Roman"/>
              </w:rPr>
              <w:t>(WHO</w:t>
            </w:r>
            <w:r w:rsidRPr="00AA2ED0">
              <w:rPr>
                <w:rFonts w:ascii="Times New Roman" w:eastAsia="標楷體" w:hAnsi="Times New Roman"/>
              </w:rPr>
              <w:t>第</w:t>
            </w:r>
            <w:r w:rsidRPr="00AA2ED0">
              <w:rPr>
                <w:rFonts w:ascii="Times New Roman" w:eastAsia="標楷體" w:hAnsi="Times New Roman"/>
              </w:rPr>
              <w:t>4</w:t>
            </w:r>
            <w:r w:rsidRPr="00AA2ED0">
              <w:rPr>
                <w:rFonts w:ascii="Times New Roman" w:eastAsia="標楷體" w:hAnsi="Times New Roman"/>
              </w:rPr>
              <w:t>級</w:t>
            </w:r>
            <w:r w:rsidRPr="00AA2ED0">
              <w:rPr>
                <w:rFonts w:ascii="Times New Roman" w:eastAsia="標楷體" w:hAnsi="Times New Roman"/>
              </w:rPr>
              <w:t xml:space="preserve">) - </w:t>
            </w:r>
            <w:r w:rsidRPr="00AA2ED0">
              <w:rPr>
                <w:rFonts w:ascii="Times New Roman" w:eastAsia="標楷體" w:hAnsi="Times New Roman"/>
              </w:rPr>
              <w:t>神經膠母細胞瘤</w:t>
            </w:r>
            <w:r>
              <w:rPr>
                <w:rFonts w:ascii="Times New Roman" w:eastAsia="標楷體" w:hAnsi="Times New Roman" w:hint="eastAsia"/>
              </w:rPr>
              <w:t>：</w:t>
            </w:r>
            <w:r w:rsidRPr="00AA2ED0">
              <w:rPr>
                <w:rFonts w:ascii="Times New Roman" w:eastAsia="標楷體" w:hAnsi="Times New Roman"/>
              </w:rPr>
              <w:t>Bevacizumab</w:t>
            </w:r>
            <w:r w:rsidRPr="00AA2ED0">
              <w:rPr>
                <w:rFonts w:ascii="Times New Roman" w:eastAsia="標楷體" w:hAnsi="Times New Roman"/>
              </w:rPr>
              <w:t>單獨使用可用於治療曾接受標準放射線治療且含</w:t>
            </w:r>
            <w:r w:rsidRPr="00AA2ED0">
              <w:rPr>
                <w:rFonts w:ascii="Times New Roman" w:eastAsia="標楷體" w:hAnsi="Times New Roman"/>
              </w:rPr>
              <w:t>Temozolomide</w:t>
            </w:r>
            <w:r w:rsidRPr="00AA2ED0">
              <w:rPr>
                <w:rFonts w:ascii="Times New Roman" w:eastAsia="標楷體" w:hAnsi="Times New Roman"/>
              </w:rPr>
              <w:t>在內之化學藥物治療失敗之多型性神經膠母細胞瘤</w:t>
            </w:r>
            <w:r w:rsidRPr="00AA2ED0">
              <w:rPr>
                <w:rFonts w:ascii="Times New Roman" w:eastAsia="標楷體" w:hAnsi="Times New Roman"/>
              </w:rPr>
              <w:t>(Glioblastoma multiforme)</w:t>
            </w:r>
            <w:r w:rsidRPr="00AA2ED0">
              <w:rPr>
                <w:rFonts w:ascii="Times New Roman" w:eastAsia="標楷體" w:hAnsi="Times New Roman"/>
              </w:rPr>
              <w:t>復發之成人病人。</w:t>
            </w:r>
          </w:p>
          <w:p w:rsidR="0077391B" w:rsidRDefault="0077391B" w:rsidP="003555E5">
            <w:pPr>
              <w:pStyle w:val="a9"/>
              <w:widowControl/>
              <w:numPr>
                <w:ilvl w:val="0"/>
                <w:numId w:val="16"/>
              </w:numPr>
              <w:ind w:leftChars="0"/>
              <w:rPr>
                <w:rFonts w:ascii="Times New Roman" w:eastAsia="標楷體" w:hAnsi="Times New Roman"/>
              </w:rPr>
            </w:pPr>
            <w:r w:rsidRPr="00AA2ED0">
              <w:rPr>
                <w:rFonts w:ascii="Times New Roman" w:eastAsia="標楷體" w:hAnsi="Times New Roman"/>
              </w:rPr>
              <w:t>晚期、轉移性或復發性非鱗狀非小細胞肺癌</w:t>
            </w:r>
            <w:r w:rsidRPr="00AA2ED0">
              <w:rPr>
                <w:rFonts w:ascii="Times New Roman" w:eastAsia="標楷體" w:hAnsi="Times New Roman"/>
              </w:rPr>
              <w:t>(NSCLC)</w:t>
            </w:r>
            <w:r>
              <w:rPr>
                <w:rFonts w:ascii="Times New Roman" w:eastAsia="標楷體" w:hAnsi="Times New Roman" w:hint="eastAsia"/>
              </w:rPr>
              <w:t>：</w:t>
            </w:r>
          </w:p>
          <w:p w:rsidR="0077391B" w:rsidRPr="00AA2ED0" w:rsidRDefault="0077391B" w:rsidP="003555E5">
            <w:pPr>
              <w:pStyle w:val="a9"/>
              <w:widowControl/>
              <w:numPr>
                <w:ilvl w:val="0"/>
                <w:numId w:val="18"/>
              </w:numPr>
              <w:ind w:leftChars="0"/>
              <w:rPr>
                <w:rFonts w:ascii="Times New Roman" w:eastAsia="標楷體" w:hAnsi="Times New Roman"/>
              </w:rPr>
            </w:pPr>
            <w:r w:rsidRPr="00AA2ED0">
              <w:rPr>
                <w:rFonts w:ascii="Times New Roman" w:eastAsia="標楷體" w:hAnsi="Times New Roman"/>
              </w:rPr>
              <w:t>Bevacizumab</w:t>
            </w:r>
            <w:r w:rsidRPr="00AA2ED0">
              <w:rPr>
                <w:rFonts w:ascii="Times New Roman" w:eastAsia="標楷體" w:hAnsi="Times New Roman"/>
              </w:rPr>
              <w:t>與</w:t>
            </w:r>
            <w:r w:rsidRPr="00AA2ED0">
              <w:rPr>
                <w:rFonts w:ascii="Times New Roman" w:eastAsia="標楷體" w:hAnsi="Times New Roman"/>
              </w:rPr>
              <w:t>carboplatin</w:t>
            </w:r>
            <w:r w:rsidRPr="00AA2ED0">
              <w:rPr>
                <w:rFonts w:ascii="Times New Roman" w:eastAsia="標楷體" w:hAnsi="Times New Roman"/>
              </w:rPr>
              <w:t>及</w:t>
            </w:r>
            <w:r w:rsidRPr="00AA2ED0">
              <w:rPr>
                <w:rFonts w:ascii="Times New Roman" w:eastAsia="標楷體" w:hAnsi="Times New Roman"/>
              </w:rPr>
              <w:t>paclitaxel</w:t>
            </w:r>
            <w:r w:rsidRPr="00AA2ED0">
              <w:rPr>
                <w:rFonts w:ascii="Times New Roman" w:eastAsia="標楷體" w:hAnsi="Times New Roman"/>
              </w:rPr>
              <w:t>合併使用，可以作為無法切除的晚期、轉移性或復發性非鱗狀非小細胞肺癌病人的第一線治療。</w:t>
            </w:r>
          </w:p>
          <w:p w:rsidR="0077391B" w:rsidRPr="00AA2ED0" w:rsidRDefault="0077391B" w:rsidP="003555E5">
            <w:pPr>
              <w:pStyle w:val="a9"/>
              <w:widowControl/>
              <w:numPr>
                <w:ilvl w:val="0"/>
                <w:numId w:val="18"/>
              </w:numPr>
              <w:ind w:leftChars="0"/>
              <w:rPr>
                <w:rFonts w:ascii="Times New Roman" w:eastAsia="標楷體" w:hAnsi="Times New Roman"/>
              </w:rPr>
            </w:pPr>
            <w:r w:rsidRPr="00AA2ED0">
              <w:rPr>
                <w:rFonts w:ascii="Times New Roman" w:eastAsia="標楷體" w:hAnsi="Times New Roman"/>
              </w:rPr>
              <w:t>Bevacizumab</w:t>
            </w:r>
            <w:r w:rsidRPr="00AA2ED0">
              <w:rPr>
                <w:rFonts w:ascii="Times New Roman" w:eastAsia="標楷體" w:hAnsi="Times New Roman"/>
              </w:rPr>
              <w:t>併用</w:t>
            </w:r>
            <w:r w:rsidRPr="00AA2ED0">
              <w:rPr>
                <w:rFonts w:ascii="Times New Roman" w:eastAsia="標楷體" w:hAnsi="Times New Roman"/>
              </w:rPr>
              <w:t>erlotinib</w:t>
            </w:r>
            <w:r w:rsidRPr="00AA2ED0">
              <w:rPr>
                <w:rFonts w:ascii="Times New Roman" w:eastAsia="標楷體" w:hAnsi="Times New Roman"/>
              </w:rPr>
              <w:t>，可作為無法手術切除的晚期、轉移性或復發性且帶有表皮生長因子受體</w:t>
            </w:r>
            <w:r w:rsidRPr="00AA2ED0">
              <w:rPr>
                <w:rFonts w:ascii="Times New Roman" w:eastAsia="標楷體" w:hAnsi="Times New Roman"/>
              </w:rPr>
              <w:t>(EGFR)</w:t>
            </w:r>
            <w:r w:rsidRPr="00AA2ED0">
              <w:rPr>
                <w:rFonts w:ascii="Times New Roman" w:eastAsia="標楷體" w:hAnsi="Times New Roman"/>
              </w:rPr>
              <w:t>活化性突變的非鱗狀非小細胞肺癌病人的第一線治療。</w:t>
            </w:r>
          </w:p>
          <w:p w:rsidR="0077391B" w:rsidRDefault="0077391B" w:rsidP="003555E5">
            <w:pPr>
              <w:pStyle w:val="a9"/>
              <w:widowControl/>
              <w:numPr>
                <w:ilvl w:val="0"/>
                <w:numId w:val="16"/>
              </w:numPr>
              <w:ind w:leftChars="0"/>
              <w:rPr>
                <w:rFonts w:ascii="Times New Roman" w:eastAsia="標楷體" w:hAnsi="Times New Roman"/>
              </w:rPr>
            </w:pPr>
            <w:r w:rsidRPr="00AA2ED0">
              <w:rPr>
                <w:rFonts w:ascii="Times New Roman" w:eastAsia="標楷體" w:hAnsi="Times New Roman"/>
              </w:rPr>
              <w:t>卵巢上皮細胞、輸卵管或原發性腹膜癌</w:t>
            </w:r>
            <w:r w:rsidRPr="00AA2ED0">
              <w:rPr>
                <w:rFonts w:ascii="Times New Roman" w:eastAsia="標楷體" w:hAnsi="Times New Roman"/>
              </w:rPr>
              <w:t>(Epithelial Ovarian, Fallopian Tube or Primary Peritoneal Cancer)</w:t>
            </w:r>
            <w:r>
              <w:rPr>
                <w:rFonts w:ascii="Times New Roman" w:eastAsia="標楷體" w:hAnsi="Times New Roman" w:hint="eastAsia"/>
              </w:rPr>
              <w:t>：</w:t>
            </w:r>
          </w:p>
          <w:p w:rsidR="0077391B" w:rsidRPr="00AA2ED0" w:rsidRDefault="0077391B" w:rsidP="003555E5">
            <w:pPr>
              <w:pStyle w:val="a9"/>
              <w:widowControl/>
              <w:numPr>
                <w:ilvl w:val="0"/>
                <w:numId w:val="19"/>
              </w:numPr>
              <w:ind w:leftChars="0"/>
              <w:rPr>
                <w:rFonts w:ascii="Times New Roman" w:eastAsia="標楷體" w:hAnsi="Times New Roman"/>
              </w:rPr>
            </w:pPr>
            <w:r w:rsidRPr="00AA2ED0">
              <w:rPr>
                <w:rFonts w:ascii="Times New Roman" w:eastAsia="標楷體" w:hAnsi="Times New Roman"/>
              </w:rPr>
              <w:t>Bevacizumab</w:t>
            </w:r>
            <w:r w:rsidRPr="00AA2ED0">
              <w:rPr>
                <w:rFonts w:ascii="Times New Roman" w:eastAsia="標楷體" w:hAnsi="Times New Roman"/>
              </w:rPr>
              <w:t>與</w:t>
            </w:r>
            <w:r w:rsidRPr="00AA2ED0">
              <w:rPr>
                <w:rFonts w:ascii="Times New Roman" w:eastAsia="標楷體" w:hAnsi="Times New Roman"/>
              </w:rPr>
              <w:t>carboplatin</w:t>
            </w:r>
            <w:r w:rsidRPr="00AA2ED0">
              <w:rPr>
                <w:rFonts w:ascii="Times New Roman" w:eastAsia="標楷體" w:hAnsi="Times New Roman"/>
              </w:rPr>
              <w:t>及</w:t>
            </w:r>
            <w:r w:rsidRPr="00AA2ED0">
              <w:rPr>
                <w:rFonts w:ascii="Times New Roman" w:eastAsia="標楷體" w:hAnsi="Times New Roman"/>
              </w:rPr>
              <w:t>paclitaxel</w:t>
            </w:r>
            <w:r w:rsidRPr="00AA2ED0">
              <w:rPr>
                <w:rFonts w:ascii="Times New Roman" w:eastAsia="標楷體" w:hAnsi="Times New Roman"/>
              </w:rPr>
              <w:t>合併使用，接著單獨使用</w:t>
            </w:r>
            <w:r>
              <w:rPr>
                <w:rFonts w:ascii="Times New Roman" w:eastAsia="標楷體" w:hAnsi="Times New Roman"/>
              </w:rPr>
              <w:t>b</w:t>
            </w:r>
            <w:r w:rsidRPr="00AA2ED0">
              <w:rPr>
                <w:rFonts w:ascii="Times New Roman" w:eastAsia="標楷體" w:hAnsi="Times New Roman"/>
              </w:rPr>
              <w:t>evacizumab</w:t>
            </w:r>
            <w:r w:rsidRPr="00AA2ED0">
              <w:rPr>
                <w:rFonts w:ascii="Times New Roman" w:eastAsia="標楷體" w:hAnsi="Times New Roman"/>
              </w:rPr>
              <w:t>，可以做為第三期或第四期卵巢上皮細胞、輸卵管或原發性腹膜癌病人接受初次手術切除後之治療。</w:t>
            </w:r>
          </w:p>
          <w:p w:rsidR="0077391B" w:rsidRPr="00AA2ED0" w:rsidRDefault="0077391B" w:rsidP="003555E5">
            <w:pPr>
              <w:pStyle w:val="a9"/>
              <w:widowControl/>
              <w:numPr>
                <w:ilvl w:val="0"/>
                <w:numId w:val="19"/>
              </w:numPr>
              <w:ind w:leftChars="0"/>
              <w:rPr>
                <w:rFonts w:ascii="Times New Roman" w:eastAsia="標楷體" w:hAnsi="Times New Roman"/>
              </w:rPr>
            </w:pPr>
            <w:r w:rsidRPr="00AA2ED0">
              <w:rPr>
                <w:rFonts w:ascii="Times New Roman" w:eastAsia="標楷體" w:hAnsi="Times New Roman"/>
              </w:rPr>
              <w:t>Bevacizumab</w:t>
            </w:r>
            <w:r w:rsidRPr="00AA2ED0">
              <w:rPr>
                <w:rFonts w:ascii="Times New Roman" w:eastAsia="標楷體" w:hAnsi="Times New Roman"/>
              </w:rPr>
              <w:t>與</w:t>
            </w:r>
            <w:r w:rsidRPr="00AA2ED0">
              <w:rPr>
                <w:rFonts w:ascii="Times New Roman" w:eastAsia="標楷體" w:hAnsi="Times New Roman"/>
              </w:rPr>
              <w:t>carboplatin</w:t>
            </w:r>
            <w:r w:rsidRPr="00AA2ED0">
              <w:rPr>
                <w:rFonts w:ascii="Times New Roman" w:eastAsia="標楷體" w:hAnsi="Times New Roman"/>
              </w:rPr>
              <w:t>及</w:t>
            </w:r>
            <w:r w:rsidRPr="00AA2ED0">
              <w:rPr>
                <w:rFonts w:ascii="Times New Roman" w:eastAsia="標楷體" w:hAnsi="Times New Roman"/>
              </w:rPr>
              <w:t>gemcitabine</w:t>
            </w:r>
            <w:r w:rsidRPr="00AA2ED0">
              <w:rPr>
                <w:rFonts w:ascii="Times New Roman" w:eastAsia="標楷體" w:hAnsi="Times New Roman"/>
              </w:rPr>
              <w:t>合併使用，可以做為曾接受過第一線含鉑類藥物</w:t>
            </w:r>
            <w:r w:rsidRPr="00AA2ED0">
              <w:rPr>
                <w:rFonts w:ascii="Times New Roman" w:eastAsia="標楷體" w:hAnsi="Times New Roman"/>
              </w:rPr>
              <w:t>(Platinum-based)</w:t>
            </w:r>
            <w:r w:rsidRPr="00AA2ED0">
              <w:rPr>
                <w:rFonts w:ascii="Times New Roman" w:eastAsia="標楷體" w:hAnsi="Times New Roman"/>
              </w:rPr>
              <w:t>化學治療間隔至少</w:t>
            </w:r>
            <w:r w:rsidRPr="00AA2ED0">
              <w:rPr>
                <w:rFonts w:ascii="Times New Roman" w:eastAsia="標楷體" w:hAnsi="Times New Roman"/>
              </w:rPr>
              <w:t>6</w:t>
            </w:r>
            <w:r w:rsidRPr="00AA2ED0">
              <w:rPr>
                <w:rFonts w:ascii="Times New Roman" w:eastAsia="標楷體" w:hAnsi="Times New Roman"/>
              </w:rPr>
              <w:t>個月再復發</w:t>
            </w:r>
            <w:r w:rsidRPr="00AA2ED0">
              <w:rPr>
                <w:rFonts w:ascii="Times New Roman" w:eastAsia="標楷體" w:hAnsi="Times New Roman"/>
              </w:rPr>
              <w:t>(</w:t>
            </w:r>
            <w:r w:rsidRPr="00AA2ED0">
              <w:rPr>
                <w:rFonts w:ascii="Times New Roman" w:eastAsia="標楷體" w:hAnsi="Times New Roman"/>
              </w:rPr>
              <w:t>即，對含鉑藥物具感受性</w:t>
            </w:r>
            <w:r w:rsidRPr="00AA2ED0">
              <w:rPr>
                <w:rFonts w:ascii="Times New Roman" w:eastAsia="標楷體" w:hAnsi="Times New Roman"/>
              </w:rPr>
              <w:t>)</w:t>
            </w:r>
            <w:r w:rsidRPr="00AA2ED0">
              <w:rPr>
                <w:rFonts w:ascii="Times New Roman" w:eastAsia="標楷體" w:hAnsi="Times New Roman"/>
              </w:rPr>
              <w:t>，且未曾接受過</w:t>
            </w:r>
            <w:r w:rsidRPr="00AA2ED0">
              <w:rPr>
                <w:rFonts w:ascii="Times New Roman" w:eastAsia="標楷體" w:hAnsi="Times New Roman"/>
              </w:rPr>
              <w:t>bevacizumab</w:t>
            </w:r>
            <w:r w:rsidRPr="00AA2ED0">
              <w:rPr>
                <w:rFonts w:ascii="Times New Roman" w:eastAsia="標楷體" w:hAnsi="Times New Roman"/>
              </w:rPr>
              <w:t>或其他血管內皮細胞生長因子</w:t>
            </w:r>
            <w:r w:rsidRPr="00AA2ED0">
              <w:rPr>
                <w:rFonts w:ascii="Times New Roman" w:eastAsia="標楷體" w:hAnsi="Times New Roman"/>
              </w:rPr>
              <w:t>(VEGF)</w:t>
            </w:r>
            <w:r w:rsidRPr="00AA2ED0">
              <w:rPr>
                <w:rFonts w:ascii="Times New Roman" w:eastAsia="標楷體" w:hAnsi="Times New Roman"/>
              </w:rPr>
              <w:t>抑制劑或血管內皮細胞生長因子接受器之標靶藥物</w:t>
            </w:r>
            <w:r w:rsidRPr="00AA2ED0">
              <w:rPr>
                <w:rFonts w:ascii="Times New Roman" w:eastAsia="標楷體" w:hAnsi="Times New Roman"/>
              </w:rPr>
              <w:t>(VEGF receptor-targeted agents)</w:t>
            </w:r>
            <w:r w:rsidRPr="00AA2ED0">
              <w:rPr>
                <w:rFonts w:ascii="Times New Roman" w:eastAsia="標楷體" w:hAnsi="Times New Roman"/>
              </w:rPr>
              <w:t>治療之復發性卵巢上皮細胞、輸卵管或原發性腹膜癌病人之治療。</w:t>
            </w:r>
          </w:p>
          <w:p w:rsidR="0077391B" w:rsidRPr="00AA2ED0" w:rsidRDefault="0077391B" w:rsidP="003555E5">
            <w:pPr>
              <w:pStyle w:val="a9"/>
              <w:widowControl/>
              <w:numPr>
                <w:ilvl w:val="0"/>
                <w:numId w:val="19"/>
              </w:numPr>
              <w:ind w:leftChars="0"/>
              <w:rPr>
                <w:rFonts w:ascii="Times New Roman" w:eastAsia="標楷體" w:hAnsi="Times New Roman"/>
              </w:rPr>
            </w:pPr>
            <w:r w:rsidRPr="00AA2ED0">
              <w:rPr>
                <w:rFonts w:ascii="Times New Roman" w:eastAsia="標楷體" w:hAnsi="Times New Roman"/>
              </w:rPr>
              <w:t>Bevacizumab</w:t>
            </w:r>
            <w:r w:rsidRPr="00AA2ED0">
              <w:rPr>
                <w:rFonts w:ascii="Times New Roman" w:eastAsia="標楷體" w:hAnsi="Times New Roman"/>
              </w:rPr>
              <w:t>與</w:t>
            </w:r>
            <w:r w:rsidRPr="00AA2ED0">
              <w:rPr>
                <w:rFonts w:ascii="Times New Roman" w:eastAsia="標楷體" w:hAnsi="Times New Roman"/>
              </w:rPr>
              <w:t>carboplatin</w:t>
            </w:r>
            <w:r w:rsidRPr="00AA2ED0">
              <w:rPr>
                <w:rFonts w:ascii="Times New Roman" w:eastAsia="標楷體" w:hAnsi="Times New Roman"/>
              </w:rPr>
              <w:t>及</w:t>
            </w:r>
            <w:r w:rsidRPr="00AA2ED0">
              <w:rPr>
                <w:rFonts w:ascii="Times New Roman" w:eastAsia="標楷體" w:hAnsi="Times New Roman"/>
              </w:rPr>
              <w:t>paclitaxel</w:t>
            </w:r>
            <w:r w:rsidRPr="00AA2ED0">
              <w:rPr>
                <w:rFonts w:ascii="Times New Roman" w:eastAsia="標楷體" w:hAnsi="Times New Roman"/>
              </w:rPr>
              <w:t>合併使用，接著單獨使用</w:t>
            </w:r>
            <w:r w:rsidRPr="00AA2ED0">
              <w:rPr>
                <w:rFonts w:ascii="Times New Roman" w:eastAsia="標楷體" w:hAnsi="Times New Roman"/>
              </w:rPr>
              <w:t>bevacizumab</w:t>
            </w:r>
            <w:r w:rsidRPr="00AA2ED0">
              <w:rPr>
                <w:rFonts w:ascii="Times New Roman" w:eastAsia="標楷體" w:hAnsi="Times New Roman"/>
              </w:rPr>
              <w:t>治療，可以做為對含鉑藥物具感受性之復發性卵巢上皮細胞、輸卵管或原發性腹膜癌病人的治療。</w:t>
            </w:r>
          </w:p>
          <w:p w:rsidR="0077391B" w:rsidRDefault="0077391B" w:rsidP="003555E5">
            <w:pPr>
              <w:pStyle w:val="a9"/>
              <w:widowControl/>
              <w:numPr>
                <w:ilvl w:val="0"/>
                <w:numId w:val="19"/>
              </w:numPr>
              <w:ind w:leftChars="0"/>
              <w:rPr>
                <w:rFonts w:ascii="Times New Roman" w:eastAsia="標楷體" w:hAnsi="Times New Roman"/>
              </w:rPr>
            </w:pPr>
            <w:r w:rsidRPr="00AA2ED0">
              <w:rPr>
                <w:rFonts w:ascii="Times New Roman" w:eastAsia="標楷體" w:hAnsi="Times New Roman"/>
              </w:rPr>
              <w:t>Bevacizumab</w:t>
            </w:r>
            <w:r w:rsidRPr="00AA2ED0">
              <w:rPr>
                <w:rFonts w:ascii="Times New Roman" w:eastAsia="標楷體" w:hAnsi="Times New Roman"/>
              </w:rPr>
              <w:t>併用</w:t>
            </w:r>
            <w:r w:rsidRPr="00AA2ED0">
              <w:rPr>
                <w:rFonts w:ascii="Times New Roman" w:eastAsia="標楷體" w:hAnsi="Times New Roman"/>
              </w:rPr>
              <w:t>paclitaxel</w:t>
            </w:r>
            <w:r w:rsidRPr="00AA2ED0">
              <w:rPr>
                <w:rFonts w:ascii="Times New Roman" w:eastAsia="標楷體" w:hAnsi="Times New Roman"/>
              </w:rPr>
              <w:t>、</w:t>
            </w:r>
            <w:r w:rsidRPr="00AA2ED0">
              <w:rPr>
                <w:rFonts w:ascii="Times New Roman" w:eastAsia="標楷體" w:hAnsi="Times New Roman"/>
              </w:rPr>
              <w:t>topotecan</w:t>
            </w:r>
            <w:r w:rsidRPr="00AA2ED0">
              <w:rPr>
                <w:rFonts w:ascii="Times New Roman" w:eastAsia="標楷體" w:hAnsi="Times New Roman"/>
              </w:rPr>
              <w:t>或</w:t>
            </w:r>
            <w:r w:rsidRPr="00AA2ED0">
              <w:rPr>
                <w:rFonts w:ascii="Times New Roman" w:eastAsia="標楷體" w:hAnsi="Times New Roman"/>
              </w:rPr>
              <w:t>pegylated liposomal doxorubicin</w:t>
            </w:r>
            <w:r w:rsidRPr="00AA2ED0">
              <w:rPr>
                <w:rFonts w:ascii="Times New Roman" w:eastAsia="標楷體" w:hAnsi="Times New Roman"/>
              </w:rPr>
              <w:t>可以做為接受過含鉑類藥物</w:t>
            </w:r>
            <w:r w:rsidRPr="00AA2ED0">
              <w:rPr>
                <w:rFonts w:ascii="Times New Roman" w:eastAsia="標楷體" w:hAnsi="Times New Roman"/>
              </w:rPr>
              <w:t>(platinum-based)</w:t>
            </w:r>
            <w:r w:rsidRPr="00AA2ED0">
              <w:rPr>
                <w:rFonts w:ascii="Times New Roman" w:eastAsia="標楷體" w:hAnsi="Times New Roman"/>
              </w:rPr>
              <w:t>化療治療後</w:t>
            </w:r>
            <w:r w:rsidRPr="00AA2ED0">
              <w:rPr>
                <w:rFonts w:ascii="Times New Roman" w:eastAsia="標楷體" w:hAnsi="Times New Roman"/>
              </w:rPr>
              <w:t>6</w:t>
            </w:r>
            <w:r w:rsidRPr="00AA2ED0">
              <w:rPr>
                <w:rFonts w:ascii="Times New Roman" w:eastAsia="標楷體" w:hAnsi="Times New Roman"/>
              </w:rPr>
              <w:t>個月內再復發</w:t>
            </w:r>
            <w:r w:rsidRPr="00AA2ED0">
              <w:rPr>
                <w:rFonts w:ascii="Times New Roman" w:eastAsia="標楷體" w:hAnsi="Times New Roman"/>
              </w:rPr>
              <w:t>(</w:t>
            </w:r>
            <w:r w:rsidRPr="00AA2ED0">
              <w:rPr>
                <w:rFonts w:ascii="Times New Roman" w:eastAsia="標楷體" w:hAnsi="Times New Roman"/>
              </w:rPr>
              <w:t>即，對含鉑藥物具抗藥性</w:t>
            </w:r>
            <w:r w:rsidRPr="00AA2ED0">
              <w:rPr>
                <w:rFonts w:ascii="Times New Roman" w:eastAsia="標楷體" w:hAnsi="Times New Roman"/>
              </w:rPr>
              <w:t>)</w:t>
            </w:r>
            <w:r w:rsidRPr="00AA2ED0">
              <w:rPr>
                <w:rFonts w:ascii="Times New Roman" w:eastAsia="標楷體" w:hAnsi="Times New Roman"/>
              </w:rPr>
              <w:t>、之前接受不超過</w:t>
            </w:r>
            <w:r w:rsidRPr="00AA2ED0">
              <w:rPr>
                <w:rFonts w:ascii="Times New Roman" w:eastAsia="標楷體" w:hAnsi="Times New Roman"/>
              </w:rPr>
              <w:t>2</w:t>
            </w:r>
            <w:r w:rsidRPr="00AA2ED0">
              <w:rPr>
                <w:rFonts w:ascii="Times New Roman" w:eastAsia="標楷體" w:hAnsi="Times New Roman"/>
              </w:rPr>
              <w:t>種化療療程且未曾接受過</w:t>
            </w:r>
            <w:r w:rsidRPr="00AA2ED0">
              <w:rPr>
                <w:rFonts w:ascii="Times New Roman" w:eastAsia="標楷體" w:hAnsi="Times New Roman"/>
              </w:rPr>
              <w:t>bevacizumab</w:t>
            </w:r>
            <w:r w:rsidRPr="00AA2ED0">
              <w:rPr>
                <w:rFonts w:ascii="Times New Roman" w:eastAsia="標楷體" w:hAnsi="Times New Roman"/>
              </w:rPr>
              <w:t>或其他血管內皮細胞生長因子</w:t>
            </w:r>
            <w:r w:rsidRPr="00AA2ED0">
              <w:rPr>
                <w:rFonts w:ascii="Times New Roman" w:eastAsia="標楷體" w:hAnsi="Times New Roman"/>
              </w:rPr>
              <w:t>(VEGF)</w:t>
            </w:r>
            <w:r w:rsidRPr="00AA2ED0">
              <w:rPr>
                <w:rFonts w:ascii="Times New Roman" w:eastAsia="標楷體" w:hAnsi="Times New Roman"/>
              </w:rPr>
              <w:t>抑制劑或血管內皮細胞生長因子接受器之標靶藥物</w:t>
            </w:r>
            <w:r w:rsidRPr="00AA2ED0">
              <w:rPr>
                <w:rFonts w:ascii="Times New Roman" w:eastAsia="標楷體" w:hAnsi="Times New Roman"/>
              </w:rPr>
              <w:t xml:space="preserve"> (VEGF receptor-targeted agents)</w:t>
            </w:r>
            <w:r w:rsidRPr="00AA2ED0">
              <w:rPr>
                <w:rFonts w:ascii="Times New Roman" w:eastAsia="標楷體" w:hAnsi="Times New Roman"/>
              </w:rPr>
              <w:t>之復發性卵巢上皮細胞癌、輸卵管或原發性腹膜癌病人的治療。</w:t>
            </w:r>
          </w:p>
          <w:p w:rsidR="0077391B" w:rsidRPr="00386048" w:rsidRDefault="0077391B" w:rsidP="003555E5">
            <w:pPr>
              <w:pStyle w:val="a9"/>
              <w:widowControl/>
              <w:numPr>
                <w:ilvl w:val="0"/>
                <w:numId w:val="16"/>
              </w:numPr>
              <w:ind w:leftChars="0"/>
              <w:rPr>
                <w:rFonts w:ascii="Times New Roman" w:eastAsia="標楷體" w:hAnsi="Times New Roman"/>
              </w:rPr>
            </w:pPr>
            <w:r w:rsidRPr="00AA2ED0">
              <w:rPr>
                <w:rFonts w:ascii="Times New Roman" w:eastAsia="標楷體" w:hAnsi="Times New Roman"/>
              </w:rPr>
              <w:t>持續性、復發性或轉移性之子宮頸癌</w:t>
            </w:r>
            <w:r w:rsidRPr="00AA2ED0">
              <w:rPr>
                <w:rFonts w:ascii="Times New Roman" w:eastAsia="標楷體" w:hAnsi="Times New Roman"/>
              </w:rPr>
              <w:t>(Persistent, Recurrent, or Metastatic Cervical Cancer)</w:t>
            </w:r>
            <w:r>
              <w:rPr>
                <w:rFonts w:ascii="Times New Roman" w:eastAsia="標楷體" w:hAnsi="Times New Roman" w:hint="eastAsia"/>
              </w:rPr>
              <w:t>：</w:t>
            </w:r>
            <w:r w:rsidRPr="00AA2ED0">
              <w:rPr>
                <w:rFonts w:ascii="Times New Roman" w:eastAsia="標楷體" w:hAnsi="Times New Roman"/>
              </w:rPr>
              <w:t>Bevacizumab</w:t>
            </w:r>
            <w:r w:rsidRPr="00AA2ED0">
              <w:rPr>
                <w:rFonts w:ascii="Times New Roman" w:eastAsia="標楷體" w:hAnsi="Times New Roman"/>
              </w:rPr>
              <w:t>與</w:t>
            </w:r>
            <w:r w:rsidRPr="00AA2ED0">
              <w:rPr>
                <w:rFonts w:ascii="Times New Roman" w:eastAsia="標楷體" w:hAnsi="Times New Roman"/>
              </w:rPr>
              <w:t>paclitaxel</w:t>
            </w:r>
            <w:r w:rsidRPr="00AA2ED0">
              <w:rPr>
                <w:rFonts w:ascii="Times New Roman" w:eastAsia="標楷體" w:hAnsi="Times New Roman"/>
              </w:rPr>
              <w:t>及</w:t>
            </w:r>
            <w:r w:rsidRPr="00AA2ED0">
              <w:rPr>
                <w:rFonts w:ascii="Times New Roman" w:eastAsia="標楷體" w:hAnsi="Times New Roman"/>
              </w:rPr>
              <w:t>cisplatin</w:t>
            </w:r>
            <w:r w:rsidRPr="00AA2ED0">
              <w:rPr>
                <w:rFonts w:ascii="Times New Roman" w:eastAsia="標楷體" w:hAnsi="Times New Roman"/>
              </w:rPr>
              <w:t>合併使用可用於治療持續性、復發性或轉移性之子宮頸癌。</w:t>
            </w:r>
            <w:r w:rsidRPr="00AA2ED0">
              <w:rPr>
                <w:rFonts w:ascii="Times New Roman" w:eastAsia="標楷體" w:hAnsi="Times New Roman"/>
              </w:rPr>
              <w:t>Bevacizumab</w:t>
            </w:r>
            <w:r w:rsidRPr="00AA2ED0">
              <w:rPr>
                <w:rFonts w:ascii="Times New Roman" w:eastAsia="標楷體" w:hAnsi="Times New Roman"/>
              </w:rPr>
              <w:t>與</w:t>
            </w:r>
            <w:r w:rsidRPr="00AA2ED0">
              <w:rPr>
                <w:rFonts w:ascii="Times New Roman" w:eastAsia="標楷體" w:hAnsi="Times New Roman"/>
              </w:rPr>
              <w:t>paclitaxel</w:t>
            </w:r>
            <w:r w:rsidRPr="00AA2ED0">
              <w:rPr>
                <w:rFonts w:ascii="Times New Roman" w:eastAsia="標楷體" w:hAnsi="Times New Roman"/>
              </w:rPr>
              <w:t>及</w:t>
            </w:r>
            <w:r w:rsidRPr="00AA2ED0">
              <w:rPr>
                <w:rFonts w:ascii="Times New Roman" w:eastAsia="標楷體" w:hAnsi="Times New Roman"/>
              </w:rPr>
              <w:t>topotecan</w:t>
            </w:r>
            <w:r w:rsidRPr="00AA2ED0">
              <w:rPr>
                <w:rFonts w:ascii="Times New Roman" w:eastAsia="標楷體" w:hAnsi="Times New Roman"/>
              </w:rPr>
              <w:t>合併使用可用於無法接受含鉑類藥物治療</w:t>
            </w:r>
            <w:r w:rsidRPr="00AA2ED0">
              <w:rPr>
                <w:rFonts w:ascii="Times New Roman" w:eastAsia="標楷體" w:hAnsi="Times New Roman"/>
              </w:rPr>
              <w:t>(platinum therapy)</w:t>
            </w:r>
            <w:r>
              <w:rPr>
                <w:rFonts w:ascii="Times New Roman" w:eastAsia="標楷體" w:hAnsi="Times New Roman"/>
              </w:rPr>
              <w:t>病人之持續性、復發性或轉移性子宮頸癌</w:t>
            </w:r>
            <w:r>
              <w:rPr>
                <w:rFonts w:ascii="Times New Roman" w:eastAsia="標楷體" w:hAnsi="Times New Roman" w:hint="eastAsia"/>
              </w:rPr>
              <w:t>。</w:t>
            </w:r>
          </w:p>
        </w:tc>
      </w:tr>
    </w:tbl>
    <w:p w:rsidR="00D221D6" w:rsidRDefault="00D221D6" w:rsidP="006C44E4">
      <w:pPr>
        <w:widowControl/>
      </w:pPr>
    </w:p>
    <w:sectPr w:rsidR="00D221D6" w:rsidSect="00C7054A">
      <w:pgSz w:w="16838" w:h="11906" w:orient="landscape"/>
      <w:pgMar w:top="568" w:right="962" w:bottom="851"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97789" w:rsidRDefault="00597789" w:rsidP="003B56BC">
      <w:r>
        <w:separator/>
      </w:r>
    </w:p>
  </w:endnote>
  <w:endnote w:type="continuationSeparator" w:id="0">
    <w:p w:rsidR="00597789" w:rsidRDefault="00597789"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8"/>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97789" w:rsidRDefault="00597789" w:rsidP="003B56BC">
      <w:r>
        <w:separator/>
      </w:r>
    </w:p>
  </w:footnote>
  <w:footnote w:type="continuationSeparator" w:id="0">
    <w:p w:rsidR="00597789" w:rsidRDefault="00597789"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C7212"/>
    <w:multiLevelType w:val="hybridMultilevel"/>
    <w:tmpl w:val="017898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A9F176E"/>
    <w:multiLevelType w:val="hybridMultilevel"/>
    <w:tmpl w:val="017898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F57330D"/>
    <w:multiLevelType w:val="hybridMultilevel"/>
    <w:tmpl w:val="1D3A9524"/>
    <w:lvl w:ilvl="0" w:tplc="9948DAD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 w15:restartNumberingAfterBreak="0">
    <w:nsid w:val="16B43566"/>
    <w:multiLevelType w:val="hybridMultilevel"/>
    <w:tmpl w:val="71986DA6"/>
    <w:lvl w:ilvl="0" w:tplc="9AC87E42">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79724CB"/>
    <w:multiLevelType w:val="hybridMultilevel"/>
    <w:tmpl w:val="C22ED18A"/>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FC0305F"/>
    <w:multiLevelType w:val="hybridMultilevel"/>
    <w:tmpl w:val="289C32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2D27F79"/>
    <w:multiLevelType w:val="hybridMultilevel"/>
    <w:tmpl w:val="0F1AB5F0"/>
    <w:lvl w:ilvl="0" w:tplc="43E627D4">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73426EE"/>
    <w:multiLevelType w:val="hybridMultilevel"/>
    <w:tmpl w:val="1D3A9524"/>
    <w:lvl w:ilvl="0" w:tplc="9948DAD0">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30740D4F"/>
    <w:multiLevelType w:val="hybridMultilevel"/>
    <w:tmpl w:val="5EB0E9C8"/>
    <w:lvl w:ilvl="0" w:tplc="3A206468">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15:restartNumberingAfterBreak="0">
    <w:nsid w:val="401642DD"/>
    <w:multiLevelType w:val="hybridMultilevel"/>
    <w:tmpl w:val="810C3318"/>
    <w:lvl w:ilvl="0" w:tplc="0409000F">
      <w:start w:val="1"/>
      <w:numFmt w:val="decimal"/>
      <w:lvlText w:val="%1."/>
      <w:lvlJc w:val="left"/>
      <w:pPr>
        <w:ind w:left="480" w:hanging="480"/>
      </w:pPr>
    </w:lvl>
    <w:lvl w:ilvl="1" w:tplc="9C6A278C">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33D4333"/>
    <w:multiLevelType w:val="hybridMultilevel"/>
    <w:tmpl w:val="82F8D536"/>
    <w:lvl w:ilvl="0" w:tplc="12524098">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481879D8"/>
    <w:multiLevelType w:val="hybridMultilevel"/>
    <w:tmpl w:val="84985A5A"/>
    <w:lvl w:ilvl="0" w:tplc="FF343B9E">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 w15:restartNumberingAfterBreak="0">
    <w:nsid w:val="48663D6E"/>
    <w:multiLevelType w:val="hybridMultilevel"/>
    <w:tmpl w:val="289C32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535E103A"/>
    <w:multiLevelType w:val="hybridMultilevel"/>
    <w:tmpl w:val="289C32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56B656BC"/>
    <w:multiLevelType w:val="hybridMultilevel"/>
    <w:tmpl w:val="017898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658F76F7"/>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666747B7"/>
    <w:multiLevelType w:val="hybridMultilevel"/>
    <w:tmpl w:val="B83EA5C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 w15:restartNumberingAfterBreak="0">
    <w:nsid w:val="67D06D10"/>
    <w:multiLevelType w:val="hybridMultilevel"/>
    <w:tmpl w:val="017898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6D4C59A4"/>
    <w:multiLevelType w:val="hybridMultilevel"/>
    <w:tmpl w:val="404C168E"/>
    <w:lvl w:ilvl="0" w:tplc="5424802E">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DC5778E"/>
    <w:multiLevelType w:val="hybridMultilevel"/>
    <w:tmpl w:val="46B4D8C6"/>
    <w:lvl w:ilvl="0" w:tplc="AED840A4">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780B0CF1"/>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83A1720"/>
    <w:multiLevelType w:val="hybridMultilevel"/>
    <w:tmpl w:val="810C3318"/>
    <w:lvl w:ilvl="0" w:tplc="0409000F">
      <w:start w:val="1"/>
      <w:numFmt w:val="decimal"/>
      <w:lvlText w:val="%1."/>
      <w:lvlJc w:val="left"/>
      <w:pPr>
        <w:ind w:left="480" w:hanging="480"/>
      </w:pPr>
    </w:lvl>
    <w:lvl w:ilvl="1" w:tplc="9C6A278C">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A2079BC"/>
    <w:multiLevelType w:val="hybridMultilevel"/>
    <w:tmpl w:val="289C32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5"/>
  </w:num>
  <w:num w:numId="2">
    <w:abstractNumId w:val="20"/>
  </w:num>
  <w:num w:numId="3">
    <w:abstractNumId w:val="4"/>
  </w:num>
  <w:num w:numId="4">
    <w:abstractNumId w:val="1"/>
  </w:num>
  <w:num w:numId="5">
    <w:abstractNumId w:val="9"/>
  </w:num>
  <w:num w:numId="6">
    <w:abstractNumId w:val="16"/>
  </w:num>
  <w:num w:numId="7">
    <w:abstractNumId w:val="19"/>
  </w:num>
  <w:num w:numId="8">
    <w:abstractNumId w:val="7"/>
  </w:num>
  <w:num w:numId="9">
    <w:abstractNumId w:val="21"/>
  </w:num>
  <w:num w:numId="10">
    <w:abstractNumId w:val="12"/>
  </w:num>
  <w:num w:numId="11">
    <w:abstractNumId w:val="14"/>
  </w:num>
  <w:num w:numId="12">
    <w:abstractNumId w:val="17"/>
  </w:num>
  <w:num w:numId="13">
    <w:abstractNumId w:val="0"/>
  </w:num>
  <w:num w:numId="14">
    <w:abstractNumId w:val="5"/>
  </w:num>
  <w:num w:numId="15">
    <w:abstractNumId w:val="22"/>
  </w:num>
  <w:num w:numId="16">
    <w:abstractNumId w:val="13"/>
  </w:num>
  <w:num w:numId="17">
    <w:abstractNumId w:val="2"/>
  </w:num>
  <w:num w:numId="18">
    <w:abstractNumId w:val="8"/>
  </w:num>
  <w:num w:numId="19">
    <w:abstractNumId w:val="11"/>
  </w:num>
  <w:num w:numId="20">
    <w:abstractNumId w:val="6"/>
  </w:num>
  <w:num w:numId="21">
    <w:abstractNumId w:val="3"/>
  </w:num>
  <w:num w:numId="22">
    <w:abstractNumId w:val="18"/>
  </w:num>
  <w:num w:numId="23">
    <w:abstractNumId w:val="1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741"/>
    <w:rsid w:val="0000085B"/>
    <w:rsid w:val="00000E9D"/>
    <w:rsid w:val="00001FD1"/>
    <w:rsid w:val="000042E9"/>
    <w:rsid w:val="0000533D"/>
    <w:rsid w:val="00005C49"/>
    <w:rsid w:val="0000743C"/>
    <w:rsid w:val="00011906"/>
    <w:rsid w:val="0001247F"/>
    <w:rsid w:val="00012536"/>
    <w:rsid w:val="00014990"/>
    <w:rsid w:val="00014F47"/>
    <w:rsid w:val="00015040"/>
    <w:rsid w:val="00015666"/>
    <w:rsid w:val="0001599E"/>
    <w:rsid w:val="0001660E"/>
    <w:rsid w:val="0001696E"/>
    <w:rsid w:val="00017171"/>
    <w:rsid w:val="00017AD6"/>
    <w:rsid w:val="00021108"/>
    <w:rsid w:val="0002377F"/>
    <w:rsid w:val="00024566"/>
    <w:rsid w:val="00025423"/>
    <w:rsid w:val="00032A84"/>
    <w:rsid w:val="00033C23"/>
    <w:rsid w:val="0003449A"/>
    <w:rsid w:val="00034AAD"/>
    <w:rsid w:val="000360F2"/>
    <w:rsid w:val="000362D2"/>
    <w:rsid w:val="0003743C"/>
    <w:rsid w:val="00040D39"/>
    <w:rsid w:val="000417A7"/>
    <w:rsid w:val="0004206A"/>
    <w:rsid w:val="0004233F"/>
    <w:rsid w:val="00042AB2"/>
    <w:rsid w:val="000445A1"/>
    <w:rsid w:val="00044F4B"/>
    <w:rsid w:val="0004625C"/>
    <w:rsid w:val="000464DC"/>
    <w:rsid w:val="00046859"/>
    <w:rsid w:val="00047368"/>
    <w:rsid w:val="00050279"/>
    <w:rsid w:val="00052487"/>
    <w:rsid w:val="00053A95"/>
    <w:rsid w:val="000564A7"/>
    <w:rsid w:val="00056F8F"/>
    <w:rsid w:val="00057243"/>
    <w:rsid w:val="00057BAD"/>
    <w:rsid w:val="00060CFC"/>
    <w:rsid w:val="0006115A"/>
    <w:rsid w:val="00063573"/>
    <w:rsid w:val="0006398A"/>
    <w:rsid w:val="00065F8B"/>
    <w:rsid w:val="000705C6"/>
    <w:rsid w:val="00070D59"/>
    <w:rsid w:val="000710A8"/>
    <w:rsid w:val="0007146D"/>
    <w:rsid w:val="00072239"/>
    <w:rsid w:val="00074D56"/>
    <w:rsid w:val="00076C07"/>
    <w:rsid w:val="000774C0"/>
    <w:rsid w:val="00077EC3"/>
    <w:rsid w:val="00080499"/>
    <w:rsid w:val="000810B0"/>
    <w:rsid w:val="000820FB"/>
    <w:rsid w:val="000841D6"/>
    <w:rsid w:val="00090A77"/>
    <w:rsid w:val="00091D64"/>
    <w:rsid w:val="000926E5"/>
    <w:rsid w:val="00093776"/>
    <w:rsid w:val="0009410E"/>
    <w:rsid w:val="0009412B"/>
    <w:rsid w:val="00096F70"/>
    <w:rsid w:val="000973BD"/>
    <w:rsid w:val="00097560"/>
    <w:rsid w:val="00097636"/>
    <w:rsid w:val="00097928"/>
    <w:rsid w:val="000A04E5"/>
    <w:rsid w:val="000A0803"/>
    <w:rsid w:val="000A1436"/>
    <w:rsid w:val="000A3189"/>
    <w:rsid w:val="000A3E05"/>
    <w:rsid w:val="000A3F20"/>
    <w:rsid w:val="000A7AC6"/>
    <w:rsid w:val="000B1861"/>
    <w:rsid w:val="000B1B19"/>
    <w:rsid w:val="000B50D5"/>
    <w:rsid w:val="000B5587"/>
    <w:rsid w:val="000B65E8"/>
    <w:rsid w:val="000B7944"/>
    <w:rsid w:val="000C168C"/>
    <w:rsid w:val="000C1BB2"/>
    <w:rsid w:val="000C1EAA"/>
    <w:rsid w:val="000C2AF2"/>
    <w:rsid w:val="000C4C68"/>
    <w:rsid w:val="000C4E72"/>
    <w:rsid w:val="000C4EF5"/>
    <w:rsid w:val="000C705F"/>
    <w:rsid w:val="000D0798"/>
    <w:rsid w:val="000D0FB2"/>
    <w:rsid w:val="000D1B4C"/>
    <w:rsid w:val="000D3D55"/>
    <w:rsid w:val="000D575A"/>
    <w:rsid w:val="000D5C02"/>
    <w:rsid w:val="000D6326"/>
    <w:rsid w:val="000D6D71"/>
    <w:rsid w:val="000D7C65"/>
    <w:rsid w:val="000E1889"/>
    <w:rsid w:val="000E1AC5"/>
    <w:rsid w:val="000E1CD1"/>
    <w:rsid w:val="000E2269"/>
    <w:rsid w:val="000E2809"/>
    <w:rsid w:val="000E2ABD"/>
    <w:rsid w:val="000E2C77"/>
    <w:rsid w:val="000E40B5"/>
    <w:rsid w:val="000E4257"/>
    <w:rsid w:val="000E4856"/>
    <w:rsid w:val="000E662C"/>
    <w:rsid w:val="000F197E"/>
    <w:rsid w:val="000F21E8"/>
    <w:rsid w:val="000F2321"/>
    <w:rsid w:val="000F419D"/>
    <w:rsid w:val="000F5BF9"/>
    <w:rsid w:val="000F5DD5"/>
    <w:rsid w:val="000F6F7C"/>
    <w:rsid w:val="000F7065"/>
    <w:rsid w:val="000F71FB"/>
    <w:rsid w:val="00101993"/>
    <w:rsid w:val="00101E1D"/>
    <w:rsid w:val="00101F28"/>
    <w:rsid w:val="001037C9"/>
    <w:rsid w:val="0010392C"/>
    <w:rsid w:val="001040E8"/>
    <w:rsid w:val="00104870"/>
    <w:rsid w:val="001049E0"/>
    <w:rsid w:val="00105264"/>
    <w:rsid w:val="00106445"/>
    <w:rsid w:val="001107F2"/>
    <w:rsid w:val="001132B4"/>
    <w:rsid w:val="00115A5F"/>
    <w:rsid w:val="001164A3"/>
    <w:rsid w:val="001164B5"/>
    <w:rsid w:val="0012261D"/>
    <w:rsid w:val="001226A2"/>
    <w:rsid w:val="0013033A"/>
    <w:rsid w:val="0013078F"/>
    <w:rsid w:val="00132D97"/>
    <w:rsid w:val="001330FD"/>
    <w:rsid w:val="00133461"/>
    <w:rsid w:val="00133BBC"/>
    <w:rsid w:val="001342B8"/>
    <w:rsid w:val="00134E88"/>
    <w:rsid w:val="00136184"/>
    <w:rsid w:val="001365D2"/>
    <w:rsid w:val="00137D92"/>
    <w:rsid w:val="001409C3"/>
    <w:rsid w:val="001428CE"/>
    <w:rsid w:val="00142B5F"/>
    <w:rsid w:val="00143373"/>
    <w:rsid w:val="001455B6"/>
    <w:rsid w:val="00150360"/>
    <w:rsid w:val="0015133E"/>
    <w:rsid w:val="00152E43"/>
    <w:rsid w:val="00153679"/>
    <w:rsid w:val="00153858"/>
    <w:rsid w:val="0015420F"/>
    <w:rsid w:val="001545B8"/>
    <w:rsid w:val="00154625"/>
    <w:rsid w:val="00154725"/>
    <w:rsid w:val="001552DB"/>
    <w:rsid w:val="001562C8"/>
    <w:rsid w:val="0015736A"/>
    <w:rsid w:val="00162AB9"/>
    <w:rsid w:val="00162D57"/>
    <w:rsid w:val="0016339B"/>
    <w:rsid w:val="00165A20"/>
    <w:rsid w:val="00167294"/>
    <w:rsid w:val="0017168C"/>
    <w:rsid w:val="00172779"/>
    <w:rsid w:val="00173163"/>
    <w:rsid w:val="00173D51"/>
    <w:rsid w:val="001769E6"/>
    <w:rsid w:val="00181E75"/>
    <w:rsid w:val="0018456C"/>
    <w:rsid w:val="00184C05"/>
    <w:rsid w:val="0018556C"/>
    <w:rsid w:val="001860F3"/>
    <w:rsid w:val="00186FAA"/>
    <w:rsid w:val="001875CC"/>
    <w:rsid w:val="00187B85"/>
    <w:rsid w:val="00187C4B"/>
    <w:rsid w:val="00187D7B"/>
    <w:rsid w:val="00190922"/>
    <w:rsid w:val="001909DD"/>
    <w:rsid w:val="00192432"/>
    <w:rsid w:val="00192DA3"/>
    <w:rsid w:val="001938C0"/>
    <w:rsid w:val="00193CCC"/>
    <w:rsid w:val="0019414A"/>
    <w:rsid w:val="0019493A"/>
    <w:rsid w:val="00195A13"/>
    <w:rsid w:val="00195A93"/>
    <w:rsid w:val="00195E5D"/>
    <w:rsid w:val="00196EBF"/>
    <w:rsid w:val="00197462"/>
    <w:rsid w:val="001979BC"/>
    <w:rsid w:val="001A1883"/>
    <w:rsid w:val="001A1B86"/>
    <w:rsid w:val="001A2911"/>
    <w:rsid w:val="001A2C38"/>
    <w:rsid w:val="001A363B"/>
    <w:rsid w:val="001A3CD6"/>
    <w:rsid w:val="001A4847"/>
    <w:rsid w:val="001A5323"/>
    <w:rsid w:val="001A6264"/>
    <w:rsid w:val="001B16AB"/>
    <w:rsid w:val="001B1867"/>
    <w:rsid w:val="001B19B5"/>
    <w:rsid w:val="001B2908"/>
    <w:rsid w:val="001B36F2"/>
    <w:rsid w:val="001B4099"/>
    <w:rsid w:val="001B42C3"/>
    <w:rsid w:val="001B7077"/>
    <w:rsid w:val="001B7903"/>
    <w:rsid w:val="001C0186"/>
    <w:rsid w:val="001C0BC6"/>
    <w:rsid w:val="001C0D1A"/>
    <w:rsid w:val="001C56AC"/>
    <w:rsid w:val="001C5A1B"/>
    <w:rsid w:val="001C673A"/>
    <w:rsid w:val="001D1B3C"/>
    <w:rsid w:val="001D43BC"/>
    <w:rsid w:val="001D5BFE"/>
    <w:rsid w:val="001D5D19"/>
    <w:rsid w:val="001D6C93"/>
    <w:rsid w:val="001D789A"/>
    <w:rsid w:val="001E16C6"/>
    <w:rsid w:val="001E36C3"/>
    <w:rsid w:val="001E3BEB"/>
    <w:rsid w:val="001E4113"/>
    <w:rsid w:val="001E4D43"/>
    <w:rsid w:val="001E6F73"/>
    <w:rsid w:val="001E6F88"/>
    <w:rsid w:val="001F2486"/>
    <w:rsid w:val="001F251E"/>
    <w:rsid w:val="001F67CC"/>
    <w:rsid w:val="00203113"/>
    <w:rsid w:val="002042C2"/>
    <w:rsid w:val="00204995"/>
    <w:rsid w:val="0020506E"/>
    <w:rsid w:val="00206072"/>
    <w:rsid w:val="002066FE"/>
    <w:rsid w:val="00211E09"/>
    <w:rsid w:val="0021279D"/>
    <w:rsid w:val="0021280B"/>
    <w:rsid w:val="002129C2"/>
    <w:rsid w:val="002147D2"/>
    <w:rsid w:val="002154F6"/>
    <w:rsid w:val="0021575E"/>
    <w:rsid w:val="00215F9D"/>
    <w:rsid w:val="00216218"/>
    <w:rsid w:val="00217F0A"/>
    <w:rsid w:val="00220264"/>
    <w:rsid w:val="002202AF"/>
    <w:rsid w:val="00221639"/>
    <w:rsid w:val="00222CD7"/>
    <w:rsid w:val="002243F5"/>
    <w:rsid w:val="00225F49"/>
    <w:rsid w:val="002265C2"/>
    <w:rsid w:val="002270DA"/>
    <w:rsid w:val="00227C0F"/>
    <w:rsid w:val="00232933"/>
    <w:rsid w:val="0023377D"/>
    <w:rsid w:val="00233E51"/>
    <w:rsid w:val="00234612"/>
    <w:rsid w:val="00235F72"/>
    <w:rsid w:val="00237253"/>
    <w:rsid w:val="00240A6B"/>
    <w:rsid w:val="00240B54"/>
    <w:rsid w:val="002411D0"/>
    <w:rsid w:val="00241556"/>
    <w:rsid w:val="00241D14"/>
    <w:rsid w:val="002420D6"/>
    <w:rsid w:val="0024250B"/>
    <w:rsid w:val="0024395F"/>
    <w:rsid w:val="00243B86"/>
    <w:rsid w:val="00244F03"/>
    <w:rsid w:val="002454FA"/>
    <w:rsid w:val="00245597"/>
    <w:rsid w:val="00246966"/>
    <w:rsid w:val="0025164B"/>
    <w:rsid w:val="002520C5"/>
    <w:rsid w:val="00252DD4"/>
    <w:rsid w:val="002557E3"/>
    <w:rsid w:val="00255E33"/>
    <w:rsid w:val="00263855"/>
    <w:rsid w:val="00263AF5"/>
    <w:rsid w:val="00263F6D"/>
    <w:rsid w:val="002647F8"/>
    <w:rsid w:val="002659C3"/>
    <w:rsid w:val="00265B3B"/>
    <w:rsid w:val="0026780F"/>
    <w:rsid w:val="00270A1F"/>
    <w:rsid w:val="002712BA"/>
    <w:rsid w:val="0027252E"/>
    <w:rsid w:val="00272E9D"/>
    <w:rsid w:val="0027402D"/>
    <w:rsid w:val="00276511"/>
    <w:rsid w:val="0027776F"/>
    <w:rsid w:val="002779B3"/>
    <w:rsid w:val="00281C12"/>
    <w:rsid w:val="002829E2"/>
    <w:rsid w:val="00282AD1"/>
    <w:rsid w:val="00284CCE"/>
    <w:rsid w:val="00284E77"/>
    <w:rsid w:val="002853C3"/>
    <w:rsid w:val="00285934"/>
    <w:rsid w:val="00286089"/>
    <w:rsid w:val="00292C02"/>
    <w:rsid w:val="00293CC3"/>
    <w:rsid w:val="00294900"/>
    <w:rsid w:val="00295558"/>
    <w:rsid w:val="002A2CDB"/>
    <w:rsid w:val="002A3E0E"/>
    <w:rsid w:val="002A42DD"/>
    <w:rsid w:val="002A46FC"/>
    <w:rsid w:val="002A7BB0"/>
    <w:rsid w:val="002B5BC8"/>
    <w:rsid w:val="002C26C1"/>
    <w:rsid w:val="002C413F"/>
    <w:rsid w:val="002C4641"/>
    <w:rsid w:val="002C5626"/>
    <w:rsid w:val="002C6123"/>
    <w:rsid w:val="002C6177"/>
    <w:rsid w:val="002C699B"/>
    <w:rsid w:val="002C76BC"/>
    <w:rsid w:val="002C7C5F"/>
    <w:rsid w:val="002D1CF9"/>
    <w:rsid w:val="002D2171"/>
    <w:rsid w:val="002D2686"/>
    <w:rsid w:val="002D2CC3"/>
    <w:rsid w:val="002D32BB"/>
    <w:rsid w:val="002D3FC9"/>
    <w:rsid w:val="002D488D"/>
    <w:rsid w:val="002D59BB"/>
    <w:rsid w:val="002D59E7"/>
    <w:rsid w:val="002E78CA"/>
    <w:rsid w:val="002E7C86"/>
    <w:rsid w:val="002F001F"/>
    <w:rsid w:val="002F036F"/>
    <w:rsid w:val="002F0FCC"/>
    <w:rsid w:val="002F199C"/>
    <w:rsid w:val="002F2727"/>
    <w:rsid w:val="002F340F"/>
    <w:rsid w:val="002F3BEF"/>
    <w:rsid w:val="002F751E"/>
    <w:rsid w:val="0030181F"/>
    <w:rsid w:val="003018D9"/>
    <w:rsid w:val="00301A83"/>
    <w:rsid w:val="003025BF"/>
    <w:rsid w:val="003029B5"/>
    <w:rsid w:val="0030700D"/>
    <w:rsid w:val="00315100"/>
    <w:rsid w:val="00315F9C"/>
    <w:rsid w:val="003209F3"/>
    <w:rsid w:val="00321CA5"/>
    <w:rsid w:val="003230D1"/>
    <w:rsid w:val="00324F1C"/>
    <w:rsid w:val="00325AD7"/>
    <w:rsid w:val="00330124"/>
    <w:rsid w:val="00331A22"/>
    <w:rsid w:val="0033298B"/>
    <w:rsid w:val="00336369"/>
    <w:rsid w:val="00340863"/>
    <w:rsid w:val="003412DC"/>
    <w:rsid w:val="00344761"/>
    <w:rsid w:val="003451D4"/>
    <w:rsid w:val="00345BF5"/>
    <w:rsid w:val="00346490"/>
    <w:rsid w:val="00351553"/>
    <w:rsid w:val="003555E5"/>
    <w:rsid w:val="003565AD"/>
    <w:rsid w:val="003577D0"/>
    <w:rsid w:val="00357C26"/>
    <w:rsid w:val="00357EF8"/>
    <w:rsid w:val="00361463"/>
    <w:rsid w:val="003617DE"/>
    <w:rsid w:val="00362C26"/>
    <w:rsid w:val="00363576"/>
    <w:rsid w:val="00364436"/>
    <w:rsid w:val="00366A78"/>
    <w:rsid w:val="00367110"/>
    <w:rsid w:val="003708D0"/>
    <w:rsid w:val="00370EB4"/>
    <w:rsid w:val="00372FA2"/>
    <w:rsid w:val="003735F2"/>
    <w:rsid w:val="00374FE1"/>
    <w:rsid w:val="003750CF"/>
    <w:rsid w:val="003752CB"/>
    <w:rsid w:val="00375B42"/>
    <w:rsid w:val="003773D1"/>
    <w:rsid w:val="00380713"/>
    <w:rsid w:val="00380B4C"/>
    <w:rsid w:val="00380E14"/>
    <w:rsid w:val="003826C6"/>
    <w:rsid w:val="00383F8C"/>
    <w:rsid w:val="003850C5"/>
    <w:rsid w:val="00385770"/>
    <w:rsid w:val="00386D61"/>
    <w:rsid w:val="00387C17"/>
    <w:rsid w:val="00391418"/>
    <w:rsid w:val="0039269B"/>
    <w:rsid w:val="00393D60"/>
    <w:rsid w:val="00393EE2"/>
    <w:rsid w:val="00394AAE"/>
    <w:rsid w:val="00394D72"/>
    <w:rsid w:val="003967FD"/>
    <w:rsid w:val="003970A4"/>
    <w:rsid w:val="003A4120"/>
    <w:rsid w:val="003B1179"/>
    <w:rsid w:val="003B36A0"/>
    <w:rsid w:val="003B53BF"/>
    <w:rsid w:val="003B56BC"/>
    <w:rsid w:val="003B6D8F"/>
    <w:rsid w:val="003B7298"/>
    <w:rsid w:val="003B79B7"/>
    <w:rsid w:val="003C0E64"/>
    <w:rsid w:val="003C13BE"/>
    <w:rsid w:val="003C3491"/>
    <w:rsid w:val="003C3589"/>
    <w:rsid w:val="003C36D3"/>
    <w:rsid w:val="003C452F"/>
    <w:rsid w:val="003C54B8"/>
    <w:rsid w:val="003C676A"/>
    <w:rsid w:val="003C72CD"/>
    <w:rsid w:val="003D01DA"/>
    <w:rsid w:val="003D03B0"/>
    <w:rsid w:val="003D060D"/>
    <w:rsid w:val="003D1E71"/>
    <w:rsid w:val="003D1EE0"/>
    <w:rsid w:val="003D31F5"/>
    <w:rsid w:val="003D3DB0"/>
    <w:rsid w:val="003D5778"/>
    <w:rsid w:val="003D5A52"/>
    <w:rsid w:val="003D5B16"/>
    <w:rsid w:val="003D614B"/>
    <w:rsid w:val="003D647C"/>
    <w:rsid w:val="003D6ADC"/>
    <w:rsid w:val="003D7BB4"/>
    <w:rsid w:val="003E057E"/>
    <w:rsid w:val="003E15EC"/>
    <w:rsid w:val="003E5420"/>
    <w:rsid w:val="003F00EE"/>
    <w:rsid w:val="003F04FB"/>
    <w:rsid w:val="003F0E8C"/>
    <w:rsid w:val="003F0EDA"/>
    <w:rsid w:val="003F256E"/>
    <w:rsid w:val="003F2759"/>
    <w:rsid w:val="003F2894"/>
    <w:rsid w:val="003F38B4"/>
    <w:rsid w:val="003F4CE2"/>
    <w:rsid w:val="003F627C"/>
    <w:rsid w:val="00400BCB"/>
    <w:rsid w:val="0040182D"/>
    <w:rsid w:val="00401A08"/>
    <w:rsid w:val="0040282A"/>
    <w:rsid w:val="00404BD2"/>
    <w:rsid w:val="00404D0F"/>
    <w:rsid w:val="00410346"/>
    <w:rsid w:val="0041085B"/>
    <w:rsid w:val="0041196A"/>
    <w:rsid w:val="004139D4"/>
    <w:rsid w:val="00415D39"/>
    <w:rsid w:val="00415D5C"/>
    <w:rsid w:val="00416206"/>
    <w:rsid w:val="00416503"/>
    <w:rsid w:val="00417332"/>
    <w:rsid w:val="004225BD"/>
    <w:rsid w:val="00423396"/>
    <w:rsid w:val="0042340B"/>
    <w:rsid w:val="004238C4"/>
    <w:rsid w:val="00424053"/>
    <w:rsid w:val="00426C67"/>
    <w:rsid w:val="004271F2"/>
    <w:rsid w:val="00427D46"/>
    <w:rsid w:val="004301CC"/>
    <w:rsid w:val="00430DB9"/>
    <w:rsid w:val="00431837"/>
    <w:rsid w:val="00431A54"/>
    <w:rsid w:val="0043306F"/>
    <w:rsid w:val="00433972"/>
    <w:rsid w:val="00434DE1"/>
    <w:rsid w:val="004350BF"/>
    <w:rsid w:val="00437820"/>
    <w:rsid w:val="00437F93"/>
    <w:rsid w:val="004419CF"/>
    <w:rsid w:val="00442988"/>
    <w:rsid w:val="00443362"/>
    <w:rsid w:val="00443436"/>
    <w:rsid w:val="0044378E"/>
    <w:rsid w:val="0044486B"/>
    <w:rsid w:val="00446477"/>
    <w:rsid w:val="0044760D"/>
    <w:rsid w:val="004506B1"/>
    <w:rsid w:val="004518A5"/>
    <w:rsid w:val="00453A37"/>
    <w:rsid w:val="00453B24"/>
    <w:rsid w:val="004544F9"/>
    <w:rsid w:val="00454500"/>
    <w:rsid w:val="004559E9"/>
    <w:rsid w:val="00456C10"/>
    <w:rsid w:val="00456CA9"/>
    <w:rsid w:val="00460A15"/>
    <w:rsid w:val="00460E40"/>
    <w:rsid w:val="00461860"/>
    <w:rsid w:val="00461F8E"/>
    <w:rsid w:val="00463B90"/>
    <w:rsid w:val="00464466"/>
    <w:rsid w:val="004649C0"/>
    <w:rsid w:val="004650F6"/>
    <w:rsid w:val="00466D14"/>
    <w:rsid w:val="00467362"/>
    <w:rsid w:val="00467B82"/>
    <w:rsid w:val="00470B91"/>
    <w:rsid w:val="0047128D"/>
    <w:rsid w:val="00473192"/>
    <w:rsid w:val="004744EF"/>
    <w:rsid w:val="004755FD"/>
    <w:rsid w:val="00476101"/>
    <w:rsid w:val="004761F9"/>
    <w:rsid w:val="00476A89"/>
    <w:rsid w:val="0047762F"/>
    <w:rsid w:val="004776FF"/>
    <w:rsid w:val="00477D9C"/>
    <w:rsid w:val="00480D8B"/>
    <w:rsid w:val="00481B25"/>
    <w:rsid w:val="00481C22"/>
    <w:rsid w:val="004878B9"/>
    <w:rsid w:val="00490DF1"/>
    <w:rsid w:val="00491525"/>
    <w:rsid w:val="00491658"/>
    <w:rsid w:val="00491E5A"/>
    <w:rsid w:val="00491E85"/>
    <w:rsid w:val="00493BFB"/>
    <w:rsid w:val="004942CD"/>
    <w:rsid w:val="00494350"/>
    <w:rsid w:val="004948DF"/>
    <w:rsid w:val="00494B0B"/>
    <w:rsid w:val="004956BA"/>
    <w:rsid w:val="00496BFB"/>
    <w:rsid w:val="004A2826"/>
    <w:rsid w:val="004A3023"/>
    <w:rsid w:val="004A31BB"/>
    <w:rsid w:val="004A32DE"/>
    <w:rsid w:val="004A3314"/>
    <w:rsid w:val="004A3392"/>
    <w:rsid w:val="004A5369"/>
    <w:rsid w:val="004A65F9"/>
    <w:rsid w:val="004A7B13"/>
    <w:rsid w:val="004B2272"/>
    <w:rsid w:val="004B2616"/>
    <w:rsid w:val="004B354D"/>
    <w:rsid w:val="004B380F"/>
    <w:rsid w:val="004B4EA4"/>
    <w:rsid w:val="004C12EF"/>
    <w:rsid w:val="004C261A"/>
    <w:rsid w:val="004C2905"/>
    <w:rsid w:val="004C50A6"/>
    <w:rsid w:val="004C7D68"/>
    <w:rsid w:val="004D159F"/>
    <w:rsid w:val="004D29F3"/>
    <w:rsid w:val="004D4022"/>
    <w:rsid w:val="004D4B6A"/>
    <w:rsid w:val="004D4BFC"/>
    <w:rsid w:val="004D56A7"/>
    <w:rsid w:val="004E0196"/>
    <w:rsid w:val="004E136E"/>
    <w:rsid w:val="004E33E0"/>
    <w:rsid w:val="004E50EE"/>
    <w:rsid w:val="004E53FD"/>
    <w:rsid w:val="004E5D24"/>
    <w:rsid w:val="004E7318"/>
    <w:rsid w:val="004F0F9F"/>
    <w:rsid w:val="004F2FA5"/>
    <w:rsid w:val="004F302F"/>
    <w:rsid w:val="004F327A"/>
    <w:rsid w:val="004F4667"/>
    <w:rsid w:val="004F4B12"/>
    <w:rsid w:val="004F5574"/>
    <w:rsid w:val="004F6A16"/>
    <w:rsid w:val="005022AB"/>
    <w:rsid w:val="005044AF"/>
    <w:rsid w:val="00504A7D"/>
    <w:rsid w:val="005062CE"/>
    <w:rsid w:val="005065F7"/>
    <w:rsid w:val="005109F0"/>
    <w:rsid w:val="00510BB3"/>
    <w:rsid w:val="00513748"/>
    <w:rsid w:val="005138BB"/>
    <w:rsid w:val="0051614F"/>
    <w:rsid w:val="0051792B"/>
    <w:rsid w:val="005207FD"/>
    <w:rsid w:val="0052098B"/>
    <w:rsid w:val="00520AC1"/>
    <w:rsid w:val="005210AC"/>
    <w:rsid w:val="00522F76"/>
    <w:rsid w:val="00523BBC"/>
    <w:rsid w:val="00525106"/>
    <w:rsid w:val="00525B33"/>
    <w:rsid w:val="00525D2E"/>
    <w:rsid w:val="005267BC"/>
    <w:rsid w:val="00527099"/>
    <w:rsid w:val="00537458"/>
    <w:rsid w:val="00537A39"/>
    <w:rsid w:val="005402A3"/>
    <w:rsid w:val="00541C57"/>
    <w:rsid w:val="00542677"/>
    <w:rsid w:val="00542A08"/>
    <w:rsid w:val="0054364B"/>
    <w:rsid w:val="005441B0"/>
    <w:rsid w:val="00544659"/>
    <w:rsid w:val="00545E85"/>
    <w:rsid w:val="00546439"/>
    <w:rsid w:val="00546DDB"/>
    <w:rsid w:val="00550F15"/>
    <w:rsid w:val="0055146D"/>
    <w:rsid w:val="00551504"/>
    <w:rsid w:val="0055218E"/>
    <w:rsid w:val="00552AE1"/>
    <w:rsid w:val="00552B7C"/>
    <w:rsid w:val="005611EF"/>
    <w:rsid w:val="0056213B"/>
    <w:rsid w:val="00564ABB"/>
    <w:rsid w:val="00564DC2"/>
    <w:rsid w:val="005675AA"/>
    <w:rsid w:val="00567B30"/>
    <w:rsid w:val="00567D81"/>
    <w:rsid w:val="00570194"/>
    <w:rsid w:val="0057091D"/>
    <w:rsid w:val="00572229"/>
    <w:rsid w:val="00573145"/>
    <w:rsid w:val="00573B90"/>
    <w:rsid w:val="005742D2"/>
    <w:rsid w:val="00574EE8"/>
    <w:rsid w:val="005751DB"/>
    <w:rsid w:val="00575354"/>
    <w:rsid w:val="00575727"/>
    <w:rsid w:val="0057680C"/>
    <w:rsid w:val="00577060"/>
    <w:rsid w:val="0057706B"/>
    <w:rsid w:val="005801E1"/>
    <w:rsid w:val="00580DAA"/>
    <w:rsid w:val="00582130"/>
    <w:rsid w:val="00582472"/>
    <w:rsid w:val="0058462B"/>
    <w:rsid w:val="00585E61"/>
    <w:rsid w:val="005860B9"/>
    <w:rsid w:val="00586F62"/>
    <w:rsid w:val="0058743A"/>
    <w:rsid w:val="00587B3E"/>
    <w:rsid w:val="00587CCB"/>
    <w:rsid w:val="00590BF6"/>
    <w:rsid w:val="00591A5F"/>
    <w:rsid w:val="0059253D"/>
    <w:rsid w:val="00594DDE"/>
    <w:rsid w:val="0059661E"/>
    <w:rsid w:val="00597789"/>
    <w:rsid w:val="005A2907"/>
    <w:rsid w:val="005A2B73"/>
    <w:rsid w:val="005A368E"/>
    <w:rsid w:val="005A3DE9"/>
    <w:rsid w:val="005A4C75"/>
    <w:rsid w:val="005A590D"/>
    <w:rsid w:val="005A6393"/>
    <w:rsid w:val="005A78FB"/>
    <w:rsid w:val="005B0483"/>
    <w:rsid w:val="005B3F6D"/>
    <w:rsid w:val="005B4CC3"/>
    <w:rsid w:val="005B6D74"/>
    <w:rsid w:val="005B7BFB"/>
    <w:rsid w:val="005C01FA"/>
    <w:rsid w:val="005C11BE"/>
    <w:rsid w:val="005C1444"/>
    <w:rsid w:val="005D10B5"/>
    <w:rsid w:val="005D32A1"/>
    <w:rsid w:val="005D339D"/>
    <w:rsid w:val="005D49D4"/>
    <w:rsid w:val="005E13B0"/>
    <w:rsid w:val="005E23EC"/>
    <w:rsid w:val="005E271F"/>
    <w:rsid w:val="005E3BF1"/>
    <w:rsid w:val="005E4ADF"/>
    <w:rsid w:val="005F1805"/>
    <w:rsid w:val="005F2F01"/>
    <w:rsid w:val="005F3147"/>
    <w:rsid w:val="005F4E08"/>
    <w:rsid w:val="005F6D8A"/>
    <w:rsid w:val="00600600"/>
    <w:rsid w:val="00600CA8"/>
    <w:rsid w:val="006035DD"/>
    <w:rsid w:val="00605170"/>
    <w:rsid w:val="006103C6"/>
    <w:rsid w:val="00614A6A"/>
    <w:rsid w:val="006177C2"/>
    <w:rsid w:val="00621754"/>
    <w:rsid w:val="00621C2A"/>
    <w:rsid w:val="00623152"/>
    <w:rsid w:val="00623C35"/>
    <w:rsid w:val="006240B7"/>
    <w:rsid w:val="006248CF"/>
    <w:rsid w:val="00625956"/>
    <w:rsid w:val="00626329"/>
    <w:rsid w:val="00627F16"/>
    <w:rsid w:val="00631223"/>
    <w:rsid w:val="00631BCC"/>
    <w:rsid w:val="00633EA6"/>
    <w:rsid w:val="0063780D"/>
    <w:rsid w:val="006426FD"/>
    <w:rsid w:val="00642F54"/>
    <w:rsid w:val="00644664"/>
    <w:rsid w:val="006448FD"/>
    <w:rsid w:val="006457C5"/>
    <w:rsid w:val="00647127"/>
    <w:rsid w:val="00650041"/>
    <w:rsid w:val="006515A2"/>
    <w:rsid w:val="00657FB3"/>
    <w:rsid w:val="006600E7"/>
    <w:rsid w:val="00660B6C"/>
    <w:rsid w:val="00662D50"/>
    <w:rsid w:val="0066350B"/>
    <w:rsid w:val="00663FF5"/>
    <w:rsid w:val="00664BDC"/>
    <w:rsid w:val="00667B41"/>
    <w:rsid w:val="00667F28"/>
    <w:rsid w:val="00670780"/>
    <w:rsid w:val="0067130A"/>
    <w:rsid w:val="00672A7B"/>
    <w:rsid w:val="00674BF8"/>
    <w:rsid w:val="00676E4D"/>
    <w:rsid w:val="006777C3"/>
    <w:rsid w:val="00677D3C"/>
    <w:rsid w:val="00680915"/>
    <w:rsid w:val="006810DE"/>
    <w:rsid w:val="0068185E"/>
    <w:rsid w:val="00681D41"/>
    <w:rsid w:val="0068261E"/>
    <w:rsid w:val="00682827"/>
    <w:rsid w:val="00682AB9"/>
    <w:rsid w:val="00684225"/>
    <w:rsid w:val="006852C0"/>
    <w:rsid w:val="0069046F"/>
    <w:rsid w:val="0069200B"/>
    <w:rsid w:val="00692E10"/>
    <w:rsid w:val="006945FA"/>
    <w:rsid w:val="00697722"/>
    <w:rsid w:val="00697C47"/>
    <w:rsid w:val="006A1F54"/>
    <w:rsid w:val="006A26A3"/>
    <w:rsid w:val="006A5661"/>
    <w:rsid w:val="006A58A3"/>
    <w:rsid w:val="006A69BF"/>
    <w:rsid w:val="006A71AD"/>
    <w:rsid w:val="006B25E5"/>
    <w:rsid w:val="006B2E8F"/>
    <w:rsid w:val="006B3A69"/>
    <w:rsid w:val="006B44DF"/>
    <w:rsid w:val="006B463C"/>
    <w:rsid w:val="006B52F4"/>
    <w:rsid w:val="006B5E5C"/>
    <w:rsid w:val="006B702A"/>
    <w:rsid w:val="006B75A3"/>
    <w:rsid w:val="006C1F4B"/>
    <w:rsid w:val="006C234F"/>
    <w:rsid w:val="006C44E4"/>
    <w:rsid w:val="006C45B7"/>
    <w:rsid w:val="006C47BE"/>
    <w:rsid w:val="006C58E2"/>
    <w:rsid w:val="006C6FC3"/>
    <w:rsid w:val="006D112B"/>
    <w:rsid w:val="006D1EDB"/>
    <w:rsid w:val="006D4051"/>
    <w:rsid w:val="006D4DB5"/>
    <w:rsid w:val="006D5DE4"/>
    <w:rsid w:val="006D6399"/>
    <w:rsid w:val="006D65DB"/>
    <w:rsid w:val="006D6CB5"/>
    <w:rsid w:val="006D79B8"/>
    <w:rsid w:val="006E06D5"/>
    <w:rsid w:val="006E13E7"/>
    <w:rsid w:val="006E3EFC"/>
    <w:rsid w:val="006E4021"/>
    <w:rsid w:val="006E4F47"/>
    <w:rsid w:val="006E572E"/>
    <w:rsid w:val="006E5C77"/>
    <w:rsid w:val="006E6972"/>
    <w:rsid w:val="006E6E08"/>
    <w:rsid w:val="006E79C5"/>
    <w:rsid w:val="006E7EF8"/>
    <w:rsid w:val="006F014D"/>
    <w:rsid w:val="006F0AC8"/>
    <w:rsid w:val="006F0B11"/>
    <w:rsid w:val="006F0E45"/>
    <w:rsid w:val="006F32C2"/>
    <w:rsid w:val="006F3C80"/>
    <w:rsid w:val="006F5502"/>
    <w:rsid w:val="006F5C17"/>
    <w:rsid w:val="006F5E9B"/>
    <w:rsid w:val="006F5F29"/>
    <w:rsid w:val="007002BD"/>
    <w:rsid w:val="00701E62"/>
    <w:rsid w:val="00703667"/>
    <w:rsid w:val="00703733"/>
    <w:rsid w:val="00704BC8"/>
    <w:rsid w:val="00705769"/>
    <w:rsid w:val="007057E2"/>
    <w:rsid w:val="007066C6"/>
    <w:rsid w:val="00706F13"/>
    <w:rsid w:val="00711D0C"/>
    <w:rsid w:val="0071206D"/>
    <w:rsid w:val="00713510"/>
    <w:rsid w:val="00713DCB"/>
    <w:rsid w:val="007144AA"/>
    <w:rsid w:val="00715E64"/>
    <w:rsid w:val="00716808"/>
    <w:rsid w:val="00716EF9"/>
    <w:rsid w:val="0071778B"/>
    <w:rsid w:val="007227A0"/>
    <w:rsid w:val="00722CB9"/>
    <w:rsid w:val="007234B7"/>
    <w:rsid w:val="007237D2"/>
    <w:rsid w:val="007247F2"/>
    <w:rsid w:val="00724B56"/>
    <w:rsid w:val="007267E3"/>
    <w:rsid w:val="007323D5"/>
    <w:rsid w:val="007334C5"/>
    <w:rsid w:val="00736C4C"/>
    <w:rsid w:val="00737DA3"/>
    <w:rsid w:val="00737EDD"/>
    <w:rsid w:val="00740206"/>
    <w:rsid w:val="00740E5B"/>
    <w:rsid w:val="0074276A"/>
    <w:rsid w:val="00744DB3"/>
    <w:rsid w:val="00747215"/>
    <w:rsid w:val="00747CC6"/>
    <w:rsid w:val="007509CB"/>
    <w:rsid w:val="00751B85"/>
    <w:rsid w:val="00752A8B"/>
    <w:rsid w:val="00752CA7"/>
    <w:rsid w:val="00755ECC"/>
    <w:rsid w:val="00757B6F"/>
    <w:rsid w:val="0076068F"/>
    <w:rsid w:val="00761D46"/>
    <w:rsid w:val="00762580"/>
    <w:rsid w:val="00762E79"/>
    <w:rsid w:val="007636C8"/>
    <w:rsid w:val="00765768"/>
    <w:rsid w:val="007658CA"/>
    <w:rsid w:val="00767F1D"/>
    <w:rsid w:val="007707F8"/>
    <w:rsid w:val="007717A9"/>
    <w:rsid w:val="00771EB0"/>
    <w:rsid w:val="007731C9"/>
    <w:rsid w:val="0077391B"/>
    <w:rsid w:val="00773E26"/>
    <w:rsid w:val="007740D1"/>
    <w:rsid w:val="00774B39"/>
    <w:rsid w:val="007752D4"/>
    <w:rsid w:val="007765B3"/>
    <w:rsid w:val="00777385"/>
    <w:rsid w:val="00777496"/>
    <w:rsid w:val="0077765F"/>
    <w:rsid w:val="00777CBB"/>
    <w:rsid w:val="0078119E"/>
    <w:rsid w:val="007816A9"/>
    <w:rsid w:val="00781F4F"/>
    <w:rsid w:val="007831D8"/>
    <w:rsid w:val="00784D01"/>
    <w:rsid w:val="00785F75"/>
    <w:rsid w:val="007901E5"/>
    <w:rsid w:val="00790EA3"/>
    <w:rsid w:val="00793032"/>
    <w:rsid w:val="007934DF"/>
    <w:rsid w:val="007936F9"/>
    <w:rsid w:val="00793982"/>
    <w:rsid w:val="0079539A"/>
    <w:rsid w:val="00795AFD"/>
    <w:rsid w:val="00795BF3"/>
    <w:rsid w:val="007A00DF"/>
    <w:rsid w:val="007A0BC4"/>
    <w:rsid w:val="007A2DBB"/>
    <w:rsid w:val="007A358C"/>
    <w:rsid w:val="007A4CAF"/>
    <w:rsid w:val="007A5BF4"/>
    <w:rsid w:val="007A73EC"/>
    <w:rsid w:val="007A780A"/>
    <w:rsid w:val="007B0487"/>
    <w:rsid w:val="007B1D7D"/>
    <w:rsid w:val="007B1E92"/>
    <w:rsid w:val="007B2D63"/>
    <w:rsid w:val="007B327B"/>
    <w:rsid w:val="007B35A4"/>
    <w:rsid w:val="007B3843"/>
    <w:rsid w:val="007B4FEF"/>
    <w:rsid w:val="007B6090"/>
    <w:rsid w:val="007B65C1"/>
    <w:rsid w:val="007B7240"/>
    <w:rsid w:val="007B76BA"/>
    <w:rsid w:val="007B76D4"/>
    <w:rsid w:val="007B79BB"/>
    <w:rsid w:val="007B7B70"/>
    <w:rsid w:val="007C0718"/>
    <w:rsid w:val="007C1262"/>
    <w:rsid w:val="007C40DF"/>
    <w:rsid w:val="007C609E"/>
    <w:rsid w:val="007D0969"/>
    <w:rsid w:val="007D1DF8"/>
    <w:rsid w:val="007D2584"/>
    <w:rsid w:val="007D39F0"/>
    <w:rsid w:val="007D4185"/>
    <w:rsid w:val="007D48EB"/>
    <w:rsid w:val="007D56EE"/>
    <w:rsid w:val="007D7314"/>
    <w:rsid w:val="007E16FC"/>
    <w:rsid w:val="007E1AF0"/>
    <w:rsid w:val="007E367A"/>
    <w:rsid w:val="007E40EA"/>
    <w:rsid w:val="007E424A"/>
    <w:rsid w:val="007E4A77"/>
    <w:rsid w:val="007E4F27"/>
    <w:rsid w:val="007E6A03"/>
    <w:rsid w:val="007E6B19"/>
    <w:rsid w:val="007E7041"/>
    <w:rsid w:val="007E7082"/>
    <w:rsid w:val="007F18FF"/>
    <w:rsid w:val="007F2D30"/>
    <w:rsid w:val="007F5278"/>
    <w:rsid w:val="007F71CE"/>
    <w:rsid w:val="008007A8"/>
    <w:rsid w:val="00800ABC"/>
    <w:rsid w:val="00802B67"/>
    <w:rsid w:val="00804555"/>
    <w:rsid w:val="00807322"/>
    <w:rsid w:val="00807818"/>
    <w:rsid w:val="0081007B"/>
    <w:rsid w:val="00810534"/>
    <w:rsid w:val="00810A0F"/>
    <w:rsid w:val="00812A01"/>
    <w:rsid w:val="0081346D"/>
    <w:rsid w:val="00815319"/>
    <w:rsid w:val="00820613"/>
    <w:rsid w:val="0082100C"/>
    <w:rsid w:val="00821982"/>
    <w:rsid w:val="00822B7C"/>
    <w:rsid w:val="0082439C"/>
    <w:rsid w:val="0082509E"/>
    <w:rsid w:val="00827416"/>
    <w:rsid w:val="008279C2"/>
    <w:rsid w:val="00834706"/>
    <w:rsid w:val="00834E15"/>
    <w:rsid w:val="00837222"/>
    <w:rsid w:val="00837B60"/>
    <w:rsid w:val="00842883"/>
    <w:rsid w:val="00842E69"/>
    <w:rsid w:val="008447DA"/>
    <w:rsid w:val="00845A1C"/>
    <w:rsid w:val="008463D7"/>
    <w:rsid w:val="00846A2F"/>
    <w:rsid w:val="0084741A"/>
    <w:rsid w:val="008504B5"/>
    <w:rsid w:val="00850B46"/>
    <w:rsid w:val="00851BB1"/>
    <w:rsid w:val="0085276D"/>
    <w:rsid w:val="008555C4"/>
    <w:rsid w:val="00855651"/>
    <w:rsid w:val="0086161A"/>
    <w:rsid w:val="008633BA"/>
    <w:rsid w:val="00864D71"/>
    <w:rsid w:val="00867BF5"/>
    <w:rsid w:val="008708F2"/>
    <w:rsid w:val="00871C9F"/>
    <w:rsid w:val="00871F4A"/>
    <w:rsid w:val="0087250C"/>
    <w:rsid w:val="008726B0"/>
    <w:rsid w:val="008735C3"/>
    <w:rsid w:val="0087362D"/>
    <w:rsid w:val="00875911"/>
    <w:rsid w:val="0088024A"/>
    <w:rsid w:val="00880719"/>
    <w:rsid w:val="00882779"/>
    <w:rsid w:val="0088292E"/>
    <w:rsid w:val="008829A0"/>
    <w:rsid w:val="00885669"/>
    <w:rsid w:val="00887F57"/>
    <w:rsid w:val="00891F7A"/>
    <w:rsid w:val="00892083"/>
    <w:rsid w:val="0089208F"/>
    <w:rsid w:val="008935ED"/>
    <w:rsid w:val="00894466"/>
    <w:rsid w:val="00895893"/>
    <w:rsid w:val="00896121"/>
    <w:rsid w:val="00896681"/>
    <w:rsid w:val="008967C1"/>
    <w:rsid w:val="00897E0A"/>
    <w:rsid w:val="00897E41"/>
    <w:rsid w:val="008A2DB1"/>
    <w:rsid w:val="008A4684"/>
    <w:rsid w:val="008A61CC"/>
    <w:rsid w:val="008A73DA"/>
    <w:rsid w:val="008B03BD"/>
    <w:rsid w:val="008B23E1"/>
    <w:rsid w:val="008B2A90"/>
    <w:rsid w:val="008B6C57"/>
    <w:rsid w:val="008B7AD4"/>
    <w:rsid w:val="008B7CB9"/>
    <w:rsid w:val="008C26F3"/>
    <w:rsid w:val="008C2A7F"/>
    <w:rsid w:val="008C33DC"/>
    <w:rsid w:val="008C3EFD"/>
    <w:rsid w:val="008C40EB"/>
    <w:rsid w:val="008C731D"/>
    <w:rsid w:val="008C7BEE"/>
    <w:rsid w:val="008D085F"/>
    <w:rsid w:val="008D165A"/>
    <w:rsid w:val="008D3116"/>
    <w:rsid w:val="008D3291"/>
    <w:rsid w:val="008D390A"/>
    <w:rsid w:val="008D56DF"/>
    <w:rsid w:val="008D7A92"/>
    <w:rsid w:val="008E018E"/>
    <w:rsid w:val="008E1527"/>
    <w:rsid w:val="008E4B76"/>
    <w:rsid w:val="008E65A4"/>
    <w:rsid w:val="008E6E20"/>
    <w:rsid w:val="008E701E"/>
    <w:rsid w:val="008E7BAD"/>
    <w:rsid w:val="008F0AC4"/>
    <w:rsid w:val="008F100C"/>
    <w:rsid w:val="008F1570"/>
    <w:rsid w:val="008F2903"/>
    <w:rsid w:val="008F2BE0"/>
    <w:rsid w:val="008F35C2"/>
    <w:rsid w:val="008F4B47"/>
    <w:rsid w:val="008F52D3"/>
    <w:rsid w:val="008F6F03"/>
    <w:rsid w:val="008F7A97"/>
    <w:rsid w:val="008F7F3D"/>
    <w:rsid w:val="008F7FAA"/>
    <w:rsid w:val="008F7FF9"/>
    <w:rsid w:val="009008EB"/>
    <w:rsid w:val="00900DF0"/>
    <w:rsid w:val="00901209"/>
    <w:rsid w:val="00902822"/>
    <w:rsid w:val="009060A6"/>
    <w:rsid w:val="00906275"/>
    <w:rsid w:val="0090651D"/>
    <w:rsid w:val="009071F8"/>
    <w:rsid w:val="00913500"/>
    <w:rsid w:val="00913E22"/>
    <w:rsid w:val="009140D6"/>
    <w:rsid w:val="009147C8"/>
    <w:rsid w:val="0091538F"/>
    <w:rsid w:val="00915E26"/>
    <w:rsid w:val="00917599"/>
    <w:rsid w:val="00923E6F"/>
    <w:rsid w:val="00924053"/>
    <w:rsid w:val="00924F90"/>
    <w:rsid w:val="00931790"/>
    <w:rsid w:val="00931D46"/>
    <w:rsid w:val="0093272F"/>
    <w:rsid w:val="00932D40"/>
    <w:rsid w:val="0093306F"/>
    <w:rsid w:val="00933271"/>
    <w:rsid w:val="00935317"/>
    <w:rsid w:val="00935552"/>
    <w:rsid w:val="00935D22"/>
    <w:rsid w:val="00936559"/>
    <w:rsid w:val="00937D03"/>
    <w:rsid w:val="00937EEC"/>
    <w:rsid w:val="009410D8"/>
    <w:rsid w:val="009424B6"/>
    <w:rsid w:val="00943722"/>
    <w:rsid w:val="009445FE"/>
    <w:rsid w:val="00944A50"/>
    <w:rsid w:val="00945A9E"/>
    <w:rsid w:val="00946C9F"/>
    <w:rsid w:val="00950453"/>
    <w:rsid w:val="009509CA"/>
    <w:rsid w:val="009514AE"/>
    <w:rsid w:val="009526BD"/>
    <w:rsid w:val="00952A1E"/>
    <w:rsid w:val="00952EEA"/>
    <w:rsid w:val="00953949"/>
    <w:rsid w:val="009543BF"/>
    <w:rsid w:val="009546C7"/>
    <w:rsid w:val="00954E40"/>
    <w:rsid w:val="0095516C"/>
    <w:rsid w:val="00955506"/>
    <w:rsid w:val="009559DE"/>
    <w:rsid w:val="00957B37"/>
    <w:rsid w:val="0096010B"/>
    <w:rsid w:val="00960C09"/>
    <w:rsid w:val="00961196"/>
    <w:rsid w:val="00961207"/>
    <w:rsid w:val="00962FF2"/>
    <w:rsid w:val="00963793"/>
    <w:rsid w:val="009640D7"/>
    <w:rsid w:val="00964DAD"/>
    <w:rsid w:val="00964E1C"/>
    <w:rsid w:val="00966379"/>
    <w:rsid w:val="009667C2"/>
    <w:rsid w:val="00966F55"/>
    <w:rsid w:val="00967A38"/>
    <w:rsid w:val="00967C4B"/>
    <w:rsid w:val="00971CBC"/>
    <w:rsid w:val="00971F94"/>
    <w:rsid w:val="0097283E"/>
    <w:rsid w:val="00972E63"/>
    <w:rsid w:val="00973980"/>
    <w:rsid w:val="00974A0F"/>
    <w:rsid w:val="0097524C"/>
    <w:rsid w:val="00980891"/>
    <w:rsid w:val="00980ADF"/>
    <w:rsid w:val="0098148B"/>
    <w:rsid w:val="00981E40"/>
    <w:rsid w:val="00983D0B"/>
    <w:rsid w:val="0098445D"/>
    <w:rsid w:val="00987078"/>
    <w:rsid w:val="009879B8"/>
    <w:rsid w:val="00987BBF"/>
    <w:rsid w:val="0099026C"/>
    <w:rsid w:val="00990602"/>
    <w:rsid w:val="00990C3B"/>
    <w:rsid w:val="00993076"/>
    <w:rsid w:val="009945E2"/>
    <w:rsid w:val="00995AE1"/>
    <w:rsid w:val="00996A79"/>
    <w:rsid w:val="0099763C"/>
    <w:rsid w:val="009A1C5A"/>
    <w:rsid w:val="009A217A"/>
    <w:rsid w:val="009A332B"/>
    <w:rsid w:val="009A38BB"/>
    <w:rsid w:val="009A4704"/>
    <w:rsid w:val="009A4BAA"/>
    <w:rsid w:val="009A6329"/>
    <w:rsid w:val="009A7741"/>
    <w:rsid w:val="009B2EDF"/>
    <w:rsid w:val="009B4394"/>
    <w:rsid w:val="009B492B"/>
    <w:rsid w:val="009B4DCE"/>
    <w:rsid w:val="009B5288"/>
    <w:rsid w:val="009B55C7"/>
    <w:rsid w:val="009B7B2A"/>
    <w:rsid w:val="009B7E66"/>
    <w:rsid w:val="009C0BFF"/>
    <w:rsid w:val="009C1885"/>
    <w:rsid w:val="009C23A4"/>
    <w:rsid w:val="009C4966"/>
    <w:rsid w:val="009C4D82"/>
    <w:rsid w:val="009C62C5"/>
    <w:rsid w:val="009C71CB"/>
    <w:rsid w:val="009C7BB9"/>
    <w:rsid w:val="009D0781"/>
    <w:rsid w:val="009D110C"/>
    <w:rsid w:val="009D1AD8"/>
    <w:rsid w:val="009D2FAB"/>
    <w:rsid w:val="009D3ED5"/>
    <w:rsid w:val="009D44FC"/>
    <w:rsid w:val="009D52FF"/>
    <w:rsid w:val="009D556C"/>
    <w:rsid w:val="009D5DBF"/>
    <w:rsid w:val="009D65ED"/>
    <w:rsid w:val="009D6A9A"/>
    <w:rsid w:val="009D7A9D"/>
    <w:rsid w:val="009E0F4B"/>
    <w:rsid w:val="009F0BA6"/>
    <w:rsid w:val="009F0D61"/>
    <w:rsid w:val="009F1585"/>
    <w:rsid w:val="009F1ABC"/>
    <w:rsid w:val="009F3199"/>
    <w:rsid w:val="009F38BD"/>
    <w:rsid w:val="009F6436"/>
    <w:rsid w:val="009F6A6C"/>
    <w:rsid w:val="009F6C95"/>
    <w:rsid w:val="009F7294"/>
    <w:rsid w:val="009F7A0A"/>
    <w:rsid w:val="00A01E95"/>
    <w:rsid w:val="00A038E7"/>
    <w:rsid w:val="00A0525C"/>
    <w:rsid w:val="00A1298F"/>
    <w:rsid w:val="00A13722"/>
    <w:rsid w:val="00A14D36"/>
    <w:rsid w:val="00A1597B"/>
    <w:rsid w:val="00A1749B"/>
    <w:rsid w:val="00A17684"/>
    <w:rsid w:val="00A17CDC"/>
    <w:rsid w:val="00A22DF4"/>
    <w:rsid w:val="00A240E7"/>
    <w:rsid w:val="00A25391"/>
    <w:rsid w:val="00A27030"/>
    <w:rsid w:val="00A30C4F"/>
    <w:rsid w:val="00A30C62"/>
    <w:rsid w:val="00A3153C"/>
    <w:rsid w:val="00A33080"/>
    <w:rsid w:val="00A41EDC"/>
    <w:rsid w:val="00A43DE1"/>
    <w:rsid w:val="00A440D2"/>
    <w:rsid w:val="00A44E5B"/>
    <w:rsid w:val="00A45087"/>
    <w:rsid w:val="00A471CE"/>
    <w:rsid w:val="00A53DF1"/>
    <w:rsid w:val="00A5557F"/>
    <w:rsid w:val="00A608A0"/>
    <w:rsid w:val="00A60A53"/>
    <w:rsid w:val="00A60BF2"/>
    <w:rsid w:val="00A61117"/>
    <w:rsid w:val="00A625C1"/>
    <w:rsid w:val="00A632BA"/>
    <w:rsid w:val="00A637B3"/>
    <w:rsid w:val="00A64165"/>
    <w:rsid w:val="00A6640A"/>
    <w:rsid w:val="00A71152"/>
    <w:rsid w:val="00A7122D"/>
    <w:rsid w:val="00A7475C"/>
    <w:rsid w:val="00A74E52"/>
    <w:rsid w:val="00A74E6D"/>
    <w:rsid w:val="00A81EDF"/>
    <w:rsid w:val="00A833AD"/>
    <w:rsid w:val="00A84D58"/>
    <w:rsid w:val="00A854A8"/>
    <w:rsid w:val="00A8686A"/>
    <w:rsid w:val="00A879AB"/>
    <w:rsid w:val="00A92052"/>
    <w:rsid w:val="00A9272F"/>
    <w:rsid w:val="00A9384C"/>
    <w:rsid w:val="00A93BF1"/>
    <w:rsid w:val="00A93E59"/>
    <w:rsid w:val="00A93F09"/>
    <w:rsid w:val="00A94422"/>
    <w:rsid w:val="00A948FB"/>
    <w:rsid w:val="00AA2ED0"/>
    <w:rsid w:val="00AA59E4"/>
    <w:rsid w:val="00AA5BC6"/>
    <w:rsid w:val="00AA6D8E"/>
    <w:rsid w:val="00AB1B07"/>
    <w:rsid w:val="00AB378A"/>
    <w:rsid w:val="00AB4943"/>
    <w:rsid w:val="00AB602C"/>
    <w:rsid w:val="00AB60C5"/>
    <w:rsid w:val="00AC30E6"/>
    <w:rsid w:val="00AC679D"/>
    <w:rsid w:val="00AC6CDC"/>
    <w:rsid w:val="00AD0472"/>
    <w:rsid w:val="00AD1FC3"/>
    <w:rsid w:val="00AD2DAC"/>
    <w:rsid w:val="00AD3BC6"/>
    <w:rsid w:val="00AD4320"/>
    <w:rsid w:val="00AD46E5"/>
    <w:rsid w:val="00AD473B"/>
    <w:rsid w:val="00AD4FC2"/>
    <w:rsid w:val="00AD5095"/>
    <w:rsid w:val="00AD5868"/>
    <w:rsid w:val="00AD6ED4"/>
    <w:rsid w:val="00AE0AF6"/>
    <w:rsid w:val="00AE1098"/>
    <w:rsid w:val="00AE64E4"/>
    <w:rsid w:val="00AE76B1"/>
    <w:rsid w:val="00AF14F0"/>
    <w:rsid w:val="00AF27C2"/>
    <w:rsid w:val="00AF28DF"/>
    <w:rsid w:val="00AF2BAD"/>
    <w:rsid w:val="00AF3E85"/>
    <w:rsid w:val="00AF522A"/>
    <w:rsid w:val="00AF576F"/>
    <w:rsid w:val="00AF5D2B"/>
    <w:rsid w:val="00AF5EF5"/>
    <w:rsid w:val="00AF77B3"/>
    <w:rsid w:val="00AF7C22"/>
    <w:rsid w:val="00B015EA"/>
    <w:rsid w:val="00B01841"/>
    <w:rsid w:val="00B04353"/>
    <w:rsid w:val="00B04F6F"/>
    <w:rsid w:val="00B12E12"/>
    <w:rsid w:val="00B13FB1"/>
    <w:rsid w:val="00B14010"/>
    <w:rsid w:val="00B14971"/>
    <w:rsid w:val="00B15496"/>
    <w:rsid w:val="00B17BC9"/>
    <w:rsid w:val="00B20CB2"/>
    <w:rsid w:val="00B21AC7"/>
    <w:rsid w:val="00B21BD1"/>
    <w:rsid w:val="00B23816"/>
    <w:rsid w:val="00B239DC"/>
    <w:rsid w:val="00B23E94"/>
    <w:rsid w:val="00B26316"/>
    <w:rsid w:val="00B26542"/>
    <w:rsid w:val="00B26FA3"/>
    <w:rsid w:val="00B273BB"/>
    <w:rsid w:val="00B27F9E"/>
    <w:rsid w:val="00B307BB"/>
    <w:rsid w:val="00B30A9E"/>
    <w:rsid w:val="00B31416"/>
    <w:rsid w:val="00B31CAB"/>
    <w:rsid w:val="00B32BB3"/>
    <w:rsid w:val="00B32C39"/>
    <w:rsid w:val="00B33469"/>
    <w:rsid w:val="00B347A0"/>
    <w:rsid w:val="00B36263"/>
    <w:rsid w:val="00B40844"/>
    <w:rsid w:val="00B40E3E"/>
    <w:rsid w:val="00B41CFE"/>
    <w:rsid w:val="00B42756"/>
    <w:rsid w:val="00B42760"/>
    <w:rsid w:val="00B42F9A"/>
    <w:rsid w:val="00B4492A"/>
    <w:rsid w:val="00B45337"/>
    <w:rsid w:val="00B46251"/>
    <w:rsid w:val="00B4683B"/>
    <w:rsid w:val="00B515DE"/>
    <w:rsid w:val="00B534DE"/>
    <w:rsid w:val="00B54D09"/>
    <w:rsid w:val="00B57287"/>
    <w:rsid w:val="00B57AEE"/>
    <w:rsid w:val="00B63288"/>
    <w:rsid w:val="00B6341A"/>
    <w:rsid w:val="00B64D74"/>
    <w:rsid w:val="00B64E63"/>
    <w:rsid w:val="00B65426"/>
    <w:rsid w:val="00B65817"/>
    <w:rsid w:val="00B65FF0"/>
    <w:rsid w:val="00B6645D"/>
    <w:rsid w:val="00B671D4"/>
    <w:rsid w:val="00B673F8"/>
    <w:rsid w:val="00B70E1C"/>
    <w:rsid w:val="00B724C3"/>
    <w:rsid w:val="00B72C4D"/>
    <w:rsid w:val="00B73139"/>
    <w:rsid w:val="00B74E5C"/>
    <w:rsid w:val="00B756B6"/>
    <w:rsid w:val="00B80308"/>
    <w:rsid w:val="00B80624"/>
    <w:rsid w:val="00B8469B"/>
    <w:rsid w:val="00B85F17"/>
    <w:rsid w:val="00B86368"/>
    <w:rsid w:val="00B90899"/>
    <w:rsid w:val="00B91C68"/>
    <w:rsid w:val="00B91FC0"/>
    <w:rsid w:val="00B9319A"/>
    <w:rsid w:val="00B947D8"/>
    <w:rsid w:val="00B950F1"/>
    <w:rsid w:val="00B967ED"/>
    <w:rsid w:val="00B96A1B"/>
    <w:rsid w:val="00B972E9"/>
    <w:rsid w:val="00B9768A"/>
    <w:rsid w:val="00BA0CF1"/>
    <w:rsid w:val="00BA4727"/>
    <w:rsid w:val="00BA6779"/>
    <w:rsid w:val="00BA7F45"/>
    <w:rsid w:val="00BB1930"/>
    <w:rsid w:val="00BB2614"/>
    <w:rsid w:val="00BB3B2E"/>
    <w:rsid w:val="00BB408C"/>
    <w:rsid w:val="00BB6997"/>
    <w:rsid w:val="00BB77E5"/>
    <w:rsid w:val="00BC205E"/>
    <w:rsid w:val="00BC4CFC"/>
    <w:rsid w:val="00BC6314"/>
    <w:rsid w:val="00BD1463"/>
    <w:rsid w:val="00BD4C75"/>
    <w:rsid w:val="00BD7E55"/>
    <w:rsid w:val="00BD7E8C"/>
    <w:rsid w:val="00BD7FA1"/>
    <w:rsid w:val="00BE1169"/>
    <w:rsid w:val="00BE15D1"/>
    <w:rsid w:val="00BE1DC3"/>
    <w:rsid w:val="00BE3008"/>
    <w:rsid w:val="00BE4A67"/>
    <w:rsid w:val="00BE5D4D"/>
    <w:rsid w:val="00BE65D7"/>
    <w:rsid w:val="00BE7D96"/>
    <w:rsid w:val="00BF0C75"/>
    <w:rsid w:val="00BF22D8"/>
    <w:rsid w:val="00BF31DF"/>
    <w:rsid w:val="00BF379E"/>
    <w:rsid w:val="00BF6522"/>
    <w:rsid w:val="00BF7CAD"/>
    <w:rsid w:val="00C02CE3"/>
    <w:rsid w:val="00C03328"/>
    <w:rsid w:val="00C033E7"/>
    <w:rsid w:val="00C037F5"/>
    <w:rsid w:val="00C03946"/>
    <w:rsid w:val="00C03D0E"/>
    <w:rsid w:val="00C04814"/>
    <w:rsid w:val="00C0606B"/>
    <w:rsid w:val="00C07109"/>
    <w:rsid w:val="00C0737A"/>
    <w:rsid w:val="00C07505"/>
    <w:rsid w:val="00C07EFD"/>
    <w:rsid w:val="00C109F4"/>
    <w:rsid w:val="00C10AA8"/>
    <w:rsid w:val="00C11778"/>
    <w:rsid w:val="00C1197C"/>
    <w:rsid w:val="00C12BD4"/>
    <w:rsid w:val="00C134BF"/>
    <w:rsid w:val="00C13C72"/>
    <w:rsid w:val="00C1455D"/>
    <w:rsid w:val="00C14A57"/>
    <w:rsid w:val="00C14BC0"/>
    <w:rsid w:val="00C15954"/>
    <w:rsid w:val="00C15BDF"/>
    <w:rsid w:val="00C20653"/>
    <w:rsid w:val="00C215CB"/>
    <w:rsid w:val="00C27E29"/>
    <w:rsid w:val="00C32212"/>
    <w:rsid w:val="00C3461A"/>
    <w:rsid w:val="00C35D2E"/>
    <w:rsid w:val="00C364C2"/>
    <w:rsid w:val="00C3721E"/>
    <w:rsid w:val="00C37456"/>
    <w:rsid w:val="00C4098F"/>
    <w:rsid w:val="00C41E8A"/>
    <w:rsid w:val="00C43A18"/>
    <w:rsid w:val="00C46FE1"/>
    <w:rsid w:val="00C50D2C"/>
    <w:rsid w:val="00C51FD1"/>
    <w:rsid w:val="00C522B3"/>
    <w:rsid w:val="00C53A76"/>
    <w:rsid w:val="00C54BCF"/>
    <w:rsid w:val="00C56B68"/>
    <w:rsid w:val="00C57F20"/>
    <w:rsid w:val="00C61237"/>
    <w:rsid w:val="00C622C6"/>
    <w:rsid w:val="00C63D0A"/>
    <w:rsid w:val="00C66C72"/>
    <w:rsid w:val="00C704A7"/>
    <w:rsid w:val="00C704AA"/>
    <w:rsid w:val="00C7054A"/>
    <w:rsid w:val="00C71277"/>
    <w:rsid w:val="00C72E85"/>
    <w:rsid w:val="00C73195"/>
    <w:rsid w:val="00C751D6"/>
    <w:rsid w:val="00C7724A"/>
    <w:rsid w:val="00C81EB1"/>
    <w:rsid w:val="00C83358"/>
    <w:rsid w:val="00C84287"/>
    <w:rsid w:val="00C859E3"/>
    <w:rsid w:val="00C85E97"/>
    <w:rsid w:val="00C870E0"/>
    <w:rsid w:val="00C87EC3"/>
    <w:rsid w:val="00C9176B"/>
    <w:rsid w:val="00C92D21"/>
    <w:rsid w:val="00C93123"/>
    <w:rsid w:val="00C93D33"/>
    <w:rsid w:val="00C96599"/>
    <w:rsid w:val="00CA1255"/>
    <w:rsid w:val="00CA3983"/>
    <w:rsid w:val="00CA4650"/>
    <w:rsid w:val="00CB0B37"/>
    <w:rsid w:val="00CB2324"/>
    <w:rsid w:val="00CB72D5"/>
    <w:rsid w:val="00CB7D0E"/>
    <w:rsid w:val="00CC1FCE"/>
    <w:rsid w:val="00CC3516"/>
    <w:rsid w:val="00CC36E2"/>
    <w:rsid w:val="00CC4901"/>
    <w:rsid w:val="00CC5516"/>
    <w:rsid w:val="00CC62A0"/>
    <w:rsid w:val="00CC632C"/>
    <w:rsid w:val="00CD02BA"/>
    <w:rsid w:val="00CD0473"/>
    <w:rsid w:val="00CD04F7"/>
    <w:rsid w:val="00CD149D"/>
    <w:rsid w:val="00CD185F"/>
    <w:rsid w:val="00CD3091"/>
    <w:rsid w:val="00CD4312"/>
    <w:rsid w:val="00CD65C2"/>
    <w:rsid w:val="00CD79D6"/>
    <w:rsid w:val="00CD7B7C"/>
    <w:rsid w:val="00CE285E"/>
    <w:rsid w:val="00CE5639"/>
    <w:rsid w:val="00CE6C8C"/>
    <w:rsid w:val="00CE764B"/>
    <w:rsid w:val="00CF38D2"/>
    <w:rsid w:val="00CF4782"/>
    <w:rsid w:val="00CF52BD"/>
    <w:rsid w:val="00CF6626"/>
    <w:rsid w:val="00CF69E9"/>
    <w:rsid w:val="00CF7E3E"/>
    <w:rsid w:val="00D036AF"/>
    <w:rsid w:val="00D04D76"/>
    <w:rsid w:val="00D05688"/>
    <w:rsid w:val="00D12D28"/>
    <w:rsid w:val="00D14A6E"/>
    <w:rsid w:val="00D16650"/>
    <w:rsid w:val="00D1677B"/>
    <w:rsid w:val="00D2154C"/>
    <w:rsid w:val="00D221D6"/>
    <w:rsid w:val="00D22C78"/>
    <w:rsid w:val="00D23C54"/>
    <w:rsid w:val="00D24CEF"/>
    <w:rsid w:val="00D311D3"/>
    <w:rsid w:val="00D31502"/>
    <w:rsid w:val="00D31559"/>
    <w:rsid w:val="00D35100"/>
    <w:rsid w:val="00D427E5"/>
    <w:rsid w:val="00D43B6E"/>
    <w:rsid w:val="00D43B77"/>
    <w:rsid w:val="00D43E77"/>
    <w:rsid w:val="00D4536A"/>
    <w:rsid w:val="00D46D5E"/>
    <w:rsid w:val="00D47A6A"/>
    <w:rsid w:val="00D47D26"/>
    <w:rsid w:val="00D53238"/>
    <w:rsid w:val="00D532B9"/>
    <w:rsid w:val="00D53B04"/>
    <w:rsid w:val="00D5542C"/>
    <w:rsid w:val="00D55E01"/>
    <w:rsid w:val="00D615AE"/>
    <w:rsid w:val="00D62331"/>
    <w:rsid w:val="00D63CDD"/>
    <w:rsid w:val="00D64026"/>
    <w:rsid w:val="00D6450D"/>
    <w:rsid w:val="00D65F3A"/>
    <w:rsid w:val="00D6734B"/>
    <w:rsid w:val="00D67672"/>
    <w:rsid w:val="00D70CB5"/>
    <w:rsid w:val="00D710FD"/>
    <w:rsid w:val="00D7135A"/>
    <w:rsid w:val="00D7317D"/>
    <w:rsid w:val="00D73509"/>
    <w:rsid w:val="00D74DFA"/>
    <w:rsid w:val="00D751DC"/>
    <w:rsid w:val="00D75A8F"/>
    <w:rsid w:val="00D77081"/>
    <w:rsid w:val="00D80A18"/>
    <w:rsid w:val="00D814D0"/>
    <w:rsid w:val="00D81E61"/>
    <w:rsid w:val="00D824FE"/>
    <w:rsid w:val="00D83DE3"/>
    <w:rsid w:val="00D84159"/>
    <w:rsid w:val="00D85843"/>
    <w:rsid w:val="00D85BCD"/>
    <w:rsid w:val="00D86AFC"/>
    <w:rsid w:val="00D90F3F"/>
    <w:rsid w:val="00D9110E"/>
    <w:rsid w:val="00D914A7"/>
    <w:rsid w:val="00D91ABB"/>
    <w:rsid w:val="00D92E31"/>
    <w:rsid w:val="00D9308D"/>
    <w:rsid w:val="00D93D72"/>
    <w:rsid w:val="00D9527F"/>
    <w:rsid w:val="00D96ABC"/>
    <w:rsid w:val="00DA356D"/>
    <w:rsid w:val="00DA3574"/>
    <w:rsid w:val="00DB0099"/>
    <w:rsid w:val="00DB02C6"/>
    <w:rsid w:val="00DB0A2C"/>
    <w:rsid w:val="00DB21CF"/>
    <w:rsid w:val="00DB2984"/>
    <w:rsid w:val="00DB3A43"/>
    <w:rsid w:val="00DB4112"/>
    <w:rsid w:val="00DB5C67"/>
    <w:rsid w:val="00DB6C6E"/>
    <w:rsid w:val="00DC0F1D"/>
    <w:rsid w:val="00DC2730"/>
    <w:rsid w:val="00DC2E68"/>
    <w:rsid w:val="00DC2F9A"/>
    <w:rsid w:val="00DC3FF3"/>
    <w:rsid w:val="00DC4039"/>
    <w:rsid w:val="00DC4BEF"/>
    <w:rsid w:val="00DD0BF4"/>
    <w:rsid w:val="00DD1AEF"/>
    <w:rsid w:val="00DD5548"/>
    <w:rsid w:val="00DD751C"/>
    <w:rsid w:val="00DE4373"/>
    <w:rsid w:val="00DE475F"/>
    <w:rsid w:val="00DE62E8"/>
    <w:rsid w:val="00DE7D3C"/>
    <w:rsid w:val="00DF0B2E"/>
    <w:rsid w:val="00DF2AEC"/>
    <w:rsid w:val="00DF507C"/>
    <w:rsid w:val="00DF56DA"/>
    <w:rsid w:val="00DF659A"/>
    <w:rsid w:val="00E0088E"/>
    <w:rsid w:val="00E00B23"/>
    <w:rsid w:val="00E00E2D"/>
    <w:rsid w:val="00E02F41"/>
    <w:rsid w:val="00E03233"/>
    <w:rsid w:val="00E033CE"/>
    <w:rsid w:val="00E05A65"/>
    <w:rsid w:val="00E05BBA"/>
    <w:rsid w:val="00E06DD1"/>
    <w:rsid w:val="00E14274"/>
    <w:rsid w:val="00E143E4"/>
    <w:rsid w:val="00E14F3D"/>
    <w:rsid w:val="00E15128"/>
    <w:rsid w:val="00E155EB"/>
    <w:rsid w:val="00E16046"/>
    <w:rsid w:val="00E179F1"/>
    <w:rsid w:val="00E20C36"/>
    <w:rsid w:val="00E21A89"/>
    <w:rsid w:val="00E22FBF"/>
    <w:rsid w:val="00E253D4"/>
    <w:rsid w:val="00E31647"/>
    <w:rsid w:val="00E31D96"/>
    <w:rsid w:val="00E32EDB"/>
    <w:rsid w:val="00E343EE"/>
    <w:rsid w:val="00E3531E"/>
    <w:rsid w:val="00E364DA"/>
    <w:rsid w:val="00E41DA0"/>
    <w:rsid w:val="00E42211"/>
    <w:rsid w:val="00E43180"/>
    <w:rsid w:val="00E43997"/>
    <w:rsid w:val="00E46CBB"/>
    <w:rsid w:val="00E471B8"/>
    <w:rsid w:val="00E50C0F"/>
    <w:rsid w:val="00E53CAC"/>
    <w:rsid w:val="00E56D08"/>
    <w:rsid w:val="00E62ECE"/>
    <w:rsid w:val="00E64C51"/>
    <w:rsid w:val="00E65DB7"/>
    <w:rsid w:val="00E66208"/>
    <w:rsid w:val="00E667EC"/>
    <w:rsid w:val="00E67139"/>
    <w:rsid w:val="00E671E9"/>
    <w:rsid w:val="00E70EF8"/>
    <w:rsid w:val="00E728AE"/>
    <w:rsid w:val="00E72EB0"/>
    <w:rsid w:val="00E74084"/>
    <w:rsid w:val="00E74E4C"/>
    <w:rsid w:val="00E755E4"/>
    <w:rsid w:val="00E81276"/>
    <w:rsid w:val="00E81763"/>
    <w:rsid w:val="00E837EA"/>
    <w:rsid w:val="00E83C1D"/>
    <w:rsid w:val="00E84B12"/>
    <w:rsid w:val="00E855E2"/>
    <w:rsid w:val="00E865B9"/>
    <w:rsid w:val="00E87732"/>
    <w:rsid w:val="00E9119A"/>
    <w:rsid w:val="00E9137B"/>
    <w:rsid w:val="00E9196D"/>
    <w:rsid w:val="00E91D56"/>
    <w:rsid w:val="00E9760C"/>
    <w:rsid w:val="00EA06DF"/>
    <w:rsid w:val="00EA28F8"/>
    <w:rsid w:val="00EA2C6F"/>
    <w:rsid w:val="00EA3562"/>
    <w:rsid w:val="00EA39AB"/>
    <w:rsid w:val="00EA511E"/>
    <w:rsid w:val="00EA6210"/>
    <w:rsid w:val="00EB0A72"/>
    <w:rsid w:val="00EB5F18"/>
    <w:rsid w:val="00EB60B5"/>
    <w:rsid w:val="00EB6530"/>
    <w:rsid w:val="00EB790B"/>
    <w:rsid w:val="00EC3F65"/>
    <w:rsid w:val="00EC4013"/>
    <w:rsid w:val="00EC447A"/>
    <w:rsid w:val="00EC64D2"/>
    <w:rsid w:val="00EC7509"/>
    <w:rsid w:val="00ED1EEF"/>
    <w:rsid w:val="00ED2574"/>
    <w:rsid w:val="00ED2F93"/>
    <w:rsid w:val="00ED391B"/>
    <w:rsid w:val="00ED39DE"/>
    <w:rsid w:val="00ED3FC5"/>
    <w:rsid w:val="00ED412A"/>
    <w:rsid w:val="00ED4301"/>
    <w:rsid w:val="00ED4A48"/>
    <w:rsid w:val="00ED6CFF"/>
    <w:rsid w:val="00EE2645"/>
    <w:rsid w:val="00EE3254"/>
    <w:rsid w:val="00EE3CB2"/>
    <w:rsid w:val="00EE4453"/>
    <w:rsid w:val="00EE4CE2"/>
    <w:rsid w:val="00EF0677"/>
    <w:rsid w:val="00EF096D"/>
    <w:rsid w:val="00EF0BC7"/>
    <w:rsid w:val="00EF0DA0"/>
    <w:rsid w:val="00EF17EF"/>
    <w:rsid w:val="00EF36C3"/>
    <w:rsid w:val="00EF3723"/>
    <w:rsid w:val="00EF4354"/>
    <w:rsid w:val="00EF4CAF"/>
    <w:rsid w:val="00EF5148"/>
    <w:rsid w:val="00EF7D12"/>
    <w:rsid w:val="00F00046"/>
    <w:rsid w:val="00F01E23"/>
    <w:rsid w:val="00F01E4C"/>
    <w:rsid w:val="00F02CC7"/>
    <w:rsid w:val="00F02F8D"/>
    <w:rsid w:val="00F06355"/>
    <w:rsid w:val="00F12DD3"/>
    <w:rsid w:val="00F14354"/>
    <w:rsid w:val="00F144B6"/>
    <w:rsid w:val="00F14A31"/>
    <w:rsid w:val="00F14C7B"/>
    <w:rsid w:val="00F15B9F"/>
    <w:rsid w:val="00F200AF"/>
    <w:rsid w:val="00F20BAD"/>
    <w:rsid w:val="00F21086"/>
    <w:rsid w:val="00F2152A"/>
    <w:rsid w:val="00F23FC2"/>
    <w:rsid w:val="00F24E6E"/>
    <w:rsid w:val="00F27E29"/>
    <w:rsid w:val="00F301BF"/>
    <w:rsid w:val="00F3184D"/>
    <w:rsid w:val="00F31B27"/>
    <w:rsid w:val="00F336C1"/>
    <w:rsid w:val="00F36143"/>
    <w:rsid w:val="00F3622B"/>
    <w:rsid w:val="00F37403"/>
    <w:rsid w:val="00F37872"/>
    <w:rsid w:val="00F37BE9"/>
    <w:rsid w:val="00F4295A"/>
    <w:rsid w:val="00F436E5"/>
    <w:rsid w:val="00F4397F"/>
    <w:rsid w:val="00F450F0"/>
    <w:rsid w:val="00F4696D"/>
    <w:rsid w:val="00F46CF7"/>
    <w:rsid w:val="00F47FB3"/>
    <w:rsid w:val="00F5040F"/>
    <w:rsid w:val="00F5329E"/>
    <w:rsid w:val="00F54E54"/>
    <w:rsid w:val="00F55BB2"/>
    <w:rsid w:val="00F55C4A"/>
    <w:rsid w:val="00F56E2C"/>
    <w:rsid w:val="00F570F9"/>
    <w:rsid w:val="00F60377"/>
    <w:rsid w:val="00F60C9D"/>
    <w:rsid w:val="00F612DB"/>
    <w:rsid w:val="00F61338"/>
    <w:rsid w:val="00F6322D"/>
    <w:rsid w:val="00F64530"/>
    <w:rsid w:val="00F648D7"/>
    <w:rsid w:val="00F64BAB"/>
    <w:rsid w:val="00F65891"/>
    <w:rsid w:val="00F668C4"/>
    <w:rsid w:val="00F710A5"/>
    <w:rsid w:val="00F7123D"/>
    <w:rsid w:val="00F74069"/>
    <w:rsid w:val="00F75DDD"/>
    <w:rsid w:val="00F75F5D"/>
    <w:rsid w:val="00F76DC4"/>
    <w:rsid w:val="00F773E8"/>
    <w:rsid w:val="00F77983"/>
    <w:rsid w:val="00F80177"/>
    <w:rsid w:val="00F80311"/>
    <w:rsid w:val="00F808E9"/>
    <w:rsid w:val="00F81A18"/>
    <w:rsid w:val="00F82706"/>
    <w:rsid w:val="00F82DCC"/>
    <w:rsid w:val="00F8402D"/>
    <w:rsid w:val="00F85569"/>
    <w:rsid w:val="00F85BBD"/>
    <w:rsid w:val="00F86DA7"/>
    <w:rsid w:val="00F87693"/>
    <w:rsid w:val="00F87E0D"/>
    <w:rsid w:val="00F903D6"/>
    <w:rsid w:val="00F90FFA"/>
    <w:rsid w:val="00F91FED"/>
    <w:rsid w:val="00F9308F"/>
    <w:rsid w:val="00F93A01"/>
    <w:rsid w:val="00F94181"/>
    <w:rsid w:val="00F95D4B"/>
    <w:rsid w:val="00F96295"/>
    <w:rsid w:val="00F96340"/>
    <w:rsid w:val="00FA09C7"/>
    <w:rsid w:val="00FA211C"/>
    <w:rsid w:val="00FA3AA1"/>
    <w:rsid w:val="00FA6BA9"/>
    <w:rsid w:val="00FA7712"/>
    <w:rsid w:val="00FA7939"/>
    <w:rsid w:val="00FA7D70"/>
    <w:rsid w:val="00FB2274"/>
    <w:rsid w:val="00FB280C"/>
    <w:rsid w:val="00FB3EA3"/>
    <w:rsid w:val="00FB6FD4"/>
    <w:rsid w:val="00FB727C"/>
    <w:rsid w:val="00FB74A3"/>
    <w:rsid w:val="00FC011A"/>
    <w:rsid w:val="00FC2B67"/>
    <w:rsid w:val="00FC30CE"/>
    <w:rsid w:val="00FC31EB"/>
    <w:rsid w:val="00FC39FB"/>
    <w:rsid w:val="00FC4729"/>
    <w:rsid w:val="00FC6D5B"/>
    <w:rsid w:val="00FD18AB"/>
    <w:rsid w:val="00FD21B5"/>
    <w:rsid w:val="00FD33E8"/>
    <w:rsid w:val="00FD4A14"/>
    <w:rsid w:val="00FD4F53"/>
    <w:rsid w:val="00FD5B73"/>
    <w:rsid w:val="00FD76F8"/>
    <w:rsid w:val="00FD7ABB"/>
    <w:rsid w:val="00FE0853"/>
    <w:rsid w:val="00FE149D"/>
    <w:rsid w:val="00FE4E95"/>
    <w:rsid w:val="00FE5529"/>
    <w:rsid w:val="00FE64F6"/>
    <w:rsid w:val="00FE6823"/>
    <w:rsid w:val="00FF063F"/>
    <w:rsid w:val="00FF1F68"/>
    <w:rsid w:val="00FF44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9F42E3D"/>
  <w15:docId w15:val="{059A8212-5C36-41FA-A9FD-0EB81DDE5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EF096D"/>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semiHidden/>
    <w:unhideWhenUsed/>
    <w:qFormat/>
    <w:locked/>
    <w:rsid w:val="00FA771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22"/>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semiHidden/>
    <w:rsid w:val="00EF096D"/>
    <w:rPr>
      <w:rFonts w:asciiTheme="majorHAnsi" w:eastAsiaTheme="majorEastAsia" w:hAnsiTheme="majorHAnsi" w:cstheme="majorBidi"/>
      <w:b/>
      <w:bCs/>
      <w:kern w:val="2"/>
      <w:sz w:val="48"/>
      <w:szCs w:val="48"/>
    </w:rPr>
  </w:style>
  <w:style w:type="paragraph" w:styleId="af">
    <w:name w:val="Balloon Text"/>
    <w:basedOn w:val="a"/>
    <w:link w:val="af0"/>
    <w:uiPriority w:val="99"/>
    <w:semiHidden/>
    <w:unhideWhenUsed/>
    <w:rsid w:val="000445A1"/>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0445A1"/>
    <w:rPr>
      <w:rFonts w:asciiTheme="majorHAnsi" w:eastAsiaTheme="majorEastAsia" w:hAnsiTheme="majorHAnsi" w:cstheme="majorBidi"/>
      <w:kern w:val="2"/>
      <w:sz w:val="18"/>
      <w:szCs w:val="18"/>
    </w:rPr>
  </w:style>
  <w:style w:type="paragraph" w:customStyle="1" w:styleId="m-6768565786166956884m3417307138195129664gmail-msolistparagraph">
    <w:name w:val="m_-6768565786166956884m_3417307138195129664gmail-msolistparagraph"/>
    <w:basedOn w:val="a"/>
    <w:rsid w:val="00546439"/>
    <w:pPr>
      <w:widowControl/>
      <w:spacing w:before="100" w:beforeAutospacing="1" w:after="100" w:afterAutospacing="1"/>
    </w:pPr>
    <w:rPr>
      <w:rFonts w:ascii="新細明體" w:hAnsi="新細明體" w:cs="新細明體"/>
      <w:kern w:val="0"/>
      <w:szCs w:val="24"/>
    </w:rPr>
  </w:style>
  <w:style w:type="character" w:customStyle="1" w:styleId="30">
    <w:name w:val="標題 3 字元"/>
    <w:basedOn w:val="a0"/>
    <w:link w:val="3"/>
    <w:semiHidden/>
    <w:rsid w:val="00FA7712"/>
    <w:rPr>
      <w:rFonts w:asciiTheme="majorHAnsi" w:eastAsiaTheme="majorEastAsia" w:hAnsiTheme="majorHAnsi" w:cstheme="majorBidi"/>
      <w:b/>
      <w:bCs/>
      <w:kern w:val="2"/>
      <w:sz w:val="36"/>
      <w:szCs w:val="36"/>
    </w:rPr>
  </w:style>
  <w:style w:type="character" w:customStyle="1" w:styleId="il">
    <w:name w:val="il"/>
    <w:basedOn w:val="a0"/>
    <w:rsid w:val="002557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55922">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11003392">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27516940">
      <w:bodyDiv w:val="1"/>
      <w:marLeft w:val="0"/>
      <w:marRight w:val="0"/>
      <w:marTop w:val="0"/>
      <w:marBottom w:val="0"/>
      <w:divBdr>
        <w:top w:val="none" w:sz="0" w:space="0" w:color="auto"/>
        <w:left w:val="none" w:sz="0" w:space="0" w:color="auto"/>
        <w:bottom w:val="none" w:sz="0" w:space="0" w:color="auto"/>
        <w:right w:val="none" w:sz="0" w:space="0" w:color="auto"/>
      </w:divBdr>
      <w:divsChild>
        <w:div w:id="1787117540">
          <w:marLeft w:val="0"/>
          <w:marRight w:val="0"/>
          <w:marTop w:val="0"/>
          <w:marBottom w:val="360"/>
          <w:divBdr>
            <w:top w:val="none" w:sz="0" w:space="0" w:color="auto"/>
            <w:left w:val="none" w:sz="0" w:space="0" w:color="auto"/>
            <w:bottom w:val="none" w:sz="0" w:space="0" w:color="auto"/>
            <w:right w:val="none" w:sz="0" w:space="0" w:color="auto"/>
          </w:divBdr>
        </w:div>
        <w:div w:id="1790272483">
          <w:marLeft w:val="0"/>
          <w:marRight w:val="0"/>
          <w:marTop w:val="0"/>
          <w:marBottom w:val="0"/>
          <w:divBdr>
            <w:top w:val="none" w:sz="0" w:space="0" w:color="auto"/>
            <w:left w:val="none" w:sz="0" w:space="0" w:color="auto"/>
            <w:bottom w:val="none" w:sz="0" w:space="0" w:color="auto"/>
            <w:right w:val="none" w:sz="0" w:space="0" w:color="auto"/>
          </w:divBdr>
          <w:divsChild>
            <w:div w:id="96392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55702">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7690232">
      <w:bodyDiv w:val="1"/>
      <w:marLeft w:val="0"/>
      <w:marRight w:val="0"/>
      <w:marTop w:val="0"/>
      <w:marBottom w:val="0"/>
      <w:divBdr>
        <w:top w:val="none" w:sz="0" w:space="0" w:color="auto"/>
        <w:left w:val="none" w:sz="0" w:space="0" w:color="auto"/>
        <w:bottom w:val="none" w:sz="0" w:space="0" w:color="auto"/>
        <w:right w:val="none" w:sz="0" w:space="0" w:color="auto"/>
      </w:divBdr>
    </w:div>
    <w:div w:id="846940672">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510486">
      <w:bodyDiv w:val="1"/>
      <w:marLeft w:val="0"/>
      <w:marRight w:val="0"/>
      <w:marTop w:val="0"/>
      <w:marBottom w:val="0"/>
      <w:divBdr>
        <w:top w:val="none" w:sz="0" w:space="0" w:color="auto"/>
        <w:left w:val="none" w:sz="0" w:space="0" w:color="auto"/>
        <w:bottom w:val="none" w:sz="0" w:space="0" w:color="auto"/>
        <w:right w:val="none" w:sz="0" w:space="0" w:color="auto"/>
      </w:divBdr>
    </w:div>
    <w:div w:id="1362507989">
      <w:bodyDiv w:val="1"/>
      <w:marLeft w:val="0"/>
      <w:marRight w:val="0"/>
      <w:marTop w:val="0"/>
      <w:marBottom w:val="0"/>
      <w:divBdr>
        <w:top w:val="none" w:sz="0" w:space="0" w:color="auto"/>
        <w:left w:val="none" w:sz="0" w:space="0" w:color="auto"/>
        <w:bottom w:val="none" w:sz="0" w:space="0" w:color="auto"/>
        <w:right w:val="none" w:sz="0" w:space="0" w:color="auto"/>
      </w:divBdr>
      <w:divsChild>
        <w:div w:id="1263345061">
          <w:marLeft w:val="0"/>
          <w:marRight w:val="0"/>
          <w:marTop w:val="0"/>
          <w:marBottom w:val="0"/>
          <w:divBdr>
            <w:top w:val="none" w:sz="0" w:space="0" w:color="auto"/>
            <w:left w:val="none" w:sz="0" w:space="0" w:color="auto"/>
            <w:bottom w:val="none" w:sz="0" w:space="0" w:color="auto"/>
            <w:right w:val="none" w:sz="0" w:space="0" w:color="auto"/>
          </w:divBdr>
        </w:div>
      </w:divsChild>
    </w:div>
    <w:div w:id="1377776005">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50544138">
      <w:bodyDiv w:val="1"/>
      <w:marLeft w:val="0"/>
      <w:marRight w:val="0"/>
      <w:marTop w:val="0"/>
      <w:marBottom w:val="0"/>
      <w:divBdr>
        <w:top w:val="none" w:sz="0" w:space="0" w:color="auto"/>
        <w:left w:val="none" w:sz="0" w:space="0" w:color="auto"/>
        <w:bottom w:val="none" w:sz="0" w:space="0" w:color="auto"/>
        <w:right w:val="none" w:sz="0" w:space="0" w:color="auto"/>
      </w:divBdr>
    </w:div>
    <w:div w:id="1760980378">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66153174">
      <w:bodyDiv w:val="1"/>
      <w:marLeft w:val="0"/>
      <w:marRight w:val="0"/>
      <w:marTop w:val="0"/>
      <w:marBottom w:val="0"/>
      <w:divBdr>
        <w:top w:val="none" w:sz="0" w:space="0" w:color="auto"/>
        <w:left w:val="none" w:sz="0" w:space="0" w:color="auto"/>
        <w:bottom w:val="none" w:sz="0" w:space="0" w:color="auto"/>
        <w:right w:val="none" w:sz="0" w:space="0" w:color="auto"/>
      </w:divBdr>
    </w:div>
    <w:div w:id="197127607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tw/mlms/H0001.asp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dr.fda.gov.tw" TargetMode="External"/><Relationship Id="rId4" Type="http://schemas.openxmlformats.org/officeDocument/2006/relationships/settings" Target="settings.xml"/><Relationship Id="rId9" Type="http://schemas.openxmlformats.org/officeDocument/2006/relationships/hyperlink" Target="https://www.gov.uk/drug-safety-update/systemically-administered-vegf-pathway-inhibitors-risk-of-aneurysm-and-artery-dissection"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8E797C-1745-4BB6-AF6E-0B1815455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631</TotalTime>
  <Pages>9</Pages>
  <Words>1834</Words>
  <Characters>10454</Characters>
  <Application>Microsoft Office Word</Application>
  <DocSecurity>0</DocSecurity>
  <Lines>87</Lines>
  <Paragraphs>24</Paragraphs>
  <ScaleCrop>false</ScaleCrop>
  <Company/>
  <LinksUpToDate>false</LinksUpToDate>
  <CharactersWithSpaces>12264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黃暐涵</cp:lastModifiedBy>
  <cp:revision>10</cp:revision>
  <cp:lastPrinted>2020-09-01T08:34:00Z</cp:lastPrinted>
  <dcterms:created xsi:type="dcterms:W3CDTF">2020-08-26T01:38:00Z</dcterms:created>
  <dcterms:modified xsi:type="dcterms:W3CDTF">2020-09-01T08:55:00Z</dcterms:modified>
</cp:coreProperties>
</file>