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744"/>
      </w:tblGrid>
      <w:tr w:rsidR="00790553" w:rsidRPr="00E11D7C" w14:paraId="22027120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8246" w14:textId="67B6086E" w:rsidR="00790553" w:rsidRPr="0073747C" w:rsidRDefault="00B369F4" w:rsidP="005E4F1B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E50FD2" w:rsidRPr="00E50FD2">
              <w:rPr>
                <w:rFonts w:ascii="Times New Roman" w:eastAsia="標楷體" w:hAnsi="Times New Roman" w:cs="Times New Roman"/>
                <w:sz w:val="36"/>
                <w:szCs w:val="36"/>
              </w:rPr>
              <w:t>glatiramer acetate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</w:t>
            </w:r>
            <w:r w:rsidR="00790553" w:rsidRPr="0073747C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790553" w:rsidRPr="00E11D7C" w14:paraId="5E9419F4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2BAAD38" w14:textId="22BE59DC" w:rsidR="00790553" w:rsidRPr="0055010F" w:rsidRDefault="00790553" w:rsidP="005E4F1B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5010F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製表日期：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</w:t>
            </w:r>
            <w:r w:rsidR="00E02AF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4D7A2D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8</w:t>
            </w:r>
          </w:p>
        </w:tc>
      </w:tr>
      <w:tr w:rsidR="00790553" w:rsidRPr="00E11D7C" w14:paraId="2AF2FF2C" w14:textId="77777777" w:rsidTr="00DB3A92">
        <w:trPr>
          <w:trHeight w:val="333"/>
          <w:jc w:val="center"/>
        </w:trPr>
        <w:tc>
          <w:tcPr>
            <w:tcW w:w="1985" w:type="dxa"/>
            <w:vAlign w:val="center"/>
          </w:tcPr>
          <w:p w14:paraId="72B492F5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744" w:type="dxa"/>
          </w:tcPr>
          <w:p w14:paraId="1476C1BC" w14:textId="1914B27B" w:rsidR="00790553" w:rsidRPr="00E50FD2" w:rsidRDefault="00E50FD2" w:rsidP="005E4F1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E50FD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glatiramer acetate</w:t>
            </w:r>
          </w:p>
        </w:tc>
      </w:tr>
      <w:tr w:rsidR="00790553" w:rsidRPr="00E11D7C" w14:paraId="334DBD51" w14:textId="77777777" w:rsidTr="00DB3A92">
        <w:trPr>
          <w:trHeight w:val="333"/>
          <w:jc w:val="center"/>
        </w:trPr>
        <w:tc>
          <w:tcPr>
            <w:tcW w:w="1985" w:type="dxa"/>
            <w:vAlign w:val="center"/>
          </w:tcPr>
          <w:p w14:paraId="47340577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藥品名稱</w:t>
            </w:r>
          </w:p>
          <w:p w14:paraId="31C26ED6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E11D7C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744" w:type="dxa"/>
          </w:tcPr>
          <w:p w14:paraId="0B22E1F6" w14:textId="7E311318" w:rsidR="00790553" w:rsidRPr="00E50FD2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E50FD2">
              <w:rPr>
                <w:rFonts w:ascii="Times New Roman" w:eastAsia="標楷體" w:hAnsi="Times New Roman"/>
                <w:color w:val="000000" w:themeColor="text1"/>
                <w:szCs w:val="24"/>
              </w:rPr>
              <w:t>衛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生福利部核准含</w:t>
            </w:r>
            <w:r w:rsidR="002A38BE" w:rsidRPr="002A38BE">
              <w:rPr>
                <w:rFonts w:ascii="Times New Roman" w:eastAsia="標楷體" w:hAnsi="Times New Roman"/>
                <w:kern w:val="0"/>
                <w:szCs w:val="24"/>
              </w:rPr>
              <w:t>glatiramer acetate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成分藥品許可證共</w:t>
            </w:r>
            <w:r w:rsidR="00E50FD2" w:rsidRPr="00E50FD2">
              <w:rPr>
                <w:rFonts w:ascii="Times New Roman" w:eastAsia="標楷體" w:hAnsi="Times New Roman"/>
                <w:kern w:val="0"/>
                <w:szCs w:val="24"/>
              </w:rPr>
              <w:t>2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張。</w:t>
            </w:r>
          </w:p>
          <w:p w14:paraId="54434227" w14:textId="609979EE" w:rsidR="00790553" w:rsidRPr="00E50FD2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b/>
                <w:szCs w:val="24"/>
              </w:rPr>
            </w:pP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查詢網址：</w:t>
            </w:r>
            <w:hyperlink r:id="rId8" w:history="1">
              <w:r w:rsidR="00E50FD2" w:rsidRPr="00E50FD2">
                <w:rPr>
                  <w:rStyle w:val="a4"/>
                  <w:rFonts w:ascii="Times New Roman" w:eastAsia="標楷體" w:hAnsi="Times New Roman"/>
                </w:rPr>
                <w:t>https://lmspiq.fda.gov.tw/web/DRPIQ/DRPIQLicSearch</w:t>
              </w:r>
            </w:hyperlink>
            <w:r w:rsidR="00E50FD2" w:rsidRPr="00E50FD2">
              <w:rPr>
                <w:rFonts w:ascii="Times New Roman" w:eastAsia="標楷體" w:hAnsi="Times New Roman"/>
              </w:rPr>
              <w:t xml:space="preserve"> </w:t>
            </w:r>
          </w:p>
        </w:tc>
      </w:tr>
      <w:tr w:rsidR="00790553" w:rsidRPr="00E11D7C" w14:paraId="5C95867A" w14:textId="77777777" w:rsidTr="00DB3A92">
        <w:trPr>
          <w:trHeight w:val="333"/>
          <w:jc w:val="center"/>
        </w:trPr>
        <w:tc>
          <w:tcPr>
            <w:tcW w:w="1985" w:type="dxa"/>
            <w:vAlign w:val="center"/>
          </w:tcPr>
          <w:p w14:paraId="48649C86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744" w:type="dxa"/>
          </w:tcPr>
          <w:p w14:paraId="7B0B1E18" w14:textId="5B04CD20" w:rsidR="008A79C9" w:rsidRDefault="008A79C9" w:rsidP="006844AB">
            <w:pPr>
              <w:pStyle w:val="a3"/>
              <w:numPr>
                <w:ilvl w:val="0"/>
                <w:numId w:val="8"/>
              </w:numPr>
              <w:tabs>
                <w:tab w:val="left" w:pos="1010"/>
              </w:tabs>
              <w:ind w:leftChars="0" w:left="284" w:hanging="284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衛</w:t>
            </w:r>
            <w:proofErr w:type="gramStart"/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部罕藥輸字</w:t>
            </w:r>
            <w:proofErr w:type="gramEnd"/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第</w:t>
            </w:r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000033</w:t>
            </w:r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號</w:t>
            </w:r>
            <w:r w:rsidR="00474F5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="009F0188" w:rsidRPr="009F0188">
              <w:rPr>
                <w:rFonts w:ascii="Times New Roman" w:eastAsia="標楷體" w:hAnsi="Times New Roman"/>
                <w:color w:val="000000" w:themeColor="text1"/>
                <w:szCs w:val="24"/>
              </w:rPr>
              <w:t>Copaxone 20mg/ml, Pre-Filled syringe for Injection</w:t>
            </w:r>
            <w:r w:rsidR="009F018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8A79C9">
              <w:rPr>
                <w:rFonts w:ascii="Times New Roman" w:eastAsia="標楷體" w:hAnsi="Times New Roman"/>
                <w:color w:val="000000" w:themeColor="text1"/>
                <w:szCs w:val="24"/>
              </w:rPr>
              <w:t>：</w:t>
            </w:r>
            <w:r w:rsidRPr="008A79C9">
              <w:rPr>
                <w:rFonts w:ascii="Times New Roman" w:eastAsia="標楷體" w:hAnsi="Times New Roman"/>
                <w:color w:val="000000" w:themeColor="text1"/>
                <w:szCs w:val="24"/>
              </w:rPr>
              <w:t>Copaxone</w:t>
            </w:r>
            <w:r w:rsidRPr="008A79C9">
              <w:rPr>
                <w:rFonts w:ascii="Times New Roman" w:eastAsia="標楷體" w:hAnsi="Times New Roman"/>
                <w:color w:val="000000" w:themeColor="text1"/>
                <w:szCs w:val="24"/>
              </w:rPr>
              <w:t>用於治療首次出現臨床症狀且有</w:t>
            </w:r>
            <w:r w:rsidRPr="008A79C9">
              <w:rPr>
                <w:rFonts w:ascii="Times New Roman" w:eastAsia="標楷體" w:hAnsi="Times New Roman"/>
                <w:color w:val="000000" w:themeColor="text1"/>
                <w:szCs w:val="24"/>
              </w:rPr>
              <w:t>MRI</w:t>
            </w:r>
            <w:r w:rsidRPr="008A79C9">
              <w:rPr>
                <w:rFonts w:ascii="Times New Roman" w:eastAsia="標楷體" w:hAnsi="Times New Roman"/>
                <w:color w:val="000000" w:themeColor="text1"/>
                <w:szCs w:val="24"/>
              </w:rPr>
              <w:t>為佐證之多發性硬化症病人。復發型多發性硬化症</w:t>
            </w:r>
            <w:r w:rsidRPr="008A79C9">
              <w:rPr>
                <w:rFonts w:ascii="Times New Roman" w:eastAsia="標楷體" w:hAnsi="Times New Roman"/>
                <w:color w:val="000000" w:themeColor="text1"/>
                <w:szCs w:val="24"/>
              </w:rPr>
              <w:t>Copaxone</w:t>
            </w:r>
            <w:r w:rsidRPr="008A79C9">
              <w:rPr>
                <w:rFonts w:ascii="Times New Roman" w:eastAsia="標楷體" w:hAnsi="Times New Roman"/>
                <w:color w:val="000000" w:themeColor="text1"/>
                <w:szCs w:val="24"/>
              </w:rPr>
              <w:t>，用於減少復發型多發性硬化病人的復發頻率。</w:t>
            </w:r>
          </w:p>
          <w:p w14:paraId="56D5A130" w14:textId="5546CEFA" w:rsidR="00913A45" w:rsidRPr="002B26B0" w:rsidRDefault="008A79C9" w:rsidP="006844AB">
            <w:pPr>
              <w:pStyle w:val="a3"/>
              <w:numPr>
                <w:ilvl w:val="0"/>
                <w:numId w:val="8"/>
              </w:numPr>
              <w:tabs>
                <w:tab w:val="left" w:pos="1010"/>
              </w:tabs>
              <w:ind w:leftChars="0" w:left="284" w:hanging="284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衛</w:t>
            </w:r>
            <w:proofErr w:type="gramStart"/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部罕藥輸字</w:t>
            </w:r>
            <w:proofErr w:type="gramEnd"/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第</w:t>
            </w:r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000035</w:t>
            </w:r>
            <w:r w:rsidRPr="008A79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號</w:t>
            </w:r>
            <w:r w:rsidR="009F018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="009F0188" w:rsidRPr="009F0188">
              <w:rPr>
                <w:rFonts w:ascii="Times New Roman" w:eastAsia="標楷體" w:hAnsi="Times New Roman"/>
                <w:color w:val="000000" w:themeColor="text1"/>
                <w:szCs w:val="24"/>
              </w:rPr>
              <w:t>Copaxone 40mg/ml, Pre-Filled syringe for Injection</w:t>
            </w:r>
            <w:r w:rsidR="009F018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2B26B0">
              <w:rPr>
                <w:rFonts w:ascii="標楷體" w:eastAsia="標楷體" w:hAnsi="標楷體" w:hint="eastAsia"/>
                <w:color w:val="000000" w:themeColor="text1"/>
                <w:szCs w:val="24"/>
              </w:rPr>
              <w:t>：</w:t>
            </w:r>
            <w:r w:rsidR="00E50FD2" w:rsidRPr="002B26B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用於復發型多發性硬化症，以減少復發型多發性硬化症病人的復發頻率。</w:t>
            </w:r>
          </w:p>
        </w:tc>
      </w:tr>
      <w:tr w:rsidR="00790553" w:rsidRPr="00A86F40" w14:paraId="158BD0AE" w14:textId="77777777" w:rsidTr="00DB3A92">
        <w:trPr>
          <w:jc w:val="center"/>
        </w:trPr>
        <w:tc>
          <w:tcPr>
            <w:tcW w:w="1985" w:type="dxa"/>
            <w:vAlign w:val="center"/>
          </w:tcPr>
          <w:p w14:paraId="6F54E091" w14:textId="77777777" w:rsidR="00790553" w:rsidRPr="00530A6E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30A6E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744" w:type="dxa"/>
          </w:tcPr>
          <w:p w14:paraId="4EEDD832" w14:textId="1F5337FB" w:rsidR="00790553" w:rsidRPr="00142102" w:rsidRDefault="00142102" w:rsidP="00142102">
            <w:pPr>
              <w:tabs>
                <w:tab w:val="left" w:pos="1010"/>
              </w:tabs>
              <w:rPr>
                <w:rFonts w:ascii="Times New Roman" w:eastAsia="標楷體" w:hAnsi="Times New Roman"/>
                <w:szCs w:val="24"/>
              </w:rPr>
            </w:pPr>
            <w:r w:rsidRPr="00142102">
              <w:rPr>
                <w:rFonts w:ascii="Times New Roman" w:eastAsia="標楷體" w:hAnsi="Times New Roman"/>
                <w:szCs w:val="24"/>
              </w:rPr>
              <w:t>Glatiramer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 w:rsidRPr="00142102">
              <w:rPr>
                <w:rFonts w:ascii="Times New Roman" w:eastAsia="標楷體" w:hAnsi="Times New Roman" w:hint="eastAsia"/>
                <w:szCs w:val="24"/>
              </w:rPr>
              <w:t>acetate</w:t>
            </w:r>
            <w:r w:rsidRPr="00142102">
              <w:rPr>
                <w:rFonts w:ascii="Times New Roman" w:eastAsia="標楷體" w:hAnsi="Times New Roman" w:hint="eastAsia"/>
                <w:szCs w:val="24"/>
              </w:rPr>
              <w:t>是一種由四種胺基酸隨機組合的合成共聚物</w:t>
            </w:r>
            <w:r w:rsidRPr="00142102">
              <w:rPr>
                <w:rFonts w:ascii="Times New Roman" w:eastAsia="標楷體" w:hAnsi="Times New Roman" w:hint="eastAsia"/>
                <w:szCs w:val="24"/>
              </w:rPr>
              <w:t>(copolymer)</w:t>
            </w:r>
            <w:r w:rsidRPr="00142102">
              <w:rPr>
                <w:rFonts w:ascii="Times New Roman" w:eastAsia="標楷體" w:hAnsi="Times New Roman" w:hint="eastAsia"/>
                <w:szCs w:val="24"/>
              </w:rPr>
              <w:t>，可模擬</w:t>
            </w:r>
            <w:proofErr w:type="gramStart"/>
            <w:r w:rsidRPr="00142102">
              <w:rPr>
                <w:rFonts w:ascii="Times New Roman" w:eastAsia="標楷體" w:hAnsi="Times New Roman" w:hint="eastAsia"/>
                <w:szCs w:val="24"/>
              </w:rPr>
              <w:t>神經髓鞘</w:t>
            </w:r>
            <w:proofErr w:type="gramEnd"/>
            <w:r w:rsidRPr="00142102">
              <w:rPr>
                <w:rFonts w:ascii="Times New Roman" w:eastAsia="標楷體" w:hAnsi="Times New Roman" w:hint="eastAsia"/>
                <w:szCs w:val="24"/>
              </w:rPr>
              <w:t>基本蛋白質</w:t>
            </w:r>
            <w:r w:rsidRPr="00142102">
              <w:rPr>
                <w:rFonts w:ascii="Times New Roman" w:eastAsia="標楷體" w:hAnsi="Times New Roman" w:hint="eastAsia"/>
                <w:szCs w:val="24"/>
              </w:rPr>
              <w:t>(myelin basic protein)</w:t>
            </w:r>
            <w:r w:rsidR="001A7C1F">
              <w:rPr>
                <w:rFonts w:ascii="標楷體" w:eastAsia="標楷體" w:hAnsi="標楷體" w:hint="eastAsia"/>
                <w:szCs w:val="24"/>
              </w:rPr>
              <w:t>，</w:t>
            </w:r>
            <w:r w:rsidRPr="00142102">
              <w:rPr>
                <w:rFonts w:ascii="Times New Roman" w:eastAsia="標楷體" w:hAnsi="Times New Roman" w:hint="eastAsia"/>
                <w:szCs w:val="24"/>
              </w:rPr>
              <w:t>其用於多發性硬化症的治療</w:t>
            </w:r>
            <w:proofErr w:type="gramStart"/>
            <w:r w:rsidRPr="00142102">
              <w:rPr>
                <w:rFonts w:ascii="Times New Roman" w:eastAsia="標楷體" w:hAnsi="Times New Roman" w:hint="eastAsia"/>
                <w:szCs w:val="24"/>
              </w:rPr>
              <w:t>機轉尚不</w:t>
            </w:r>
            <w:proofErr w:type="gramEnd"/>
            <w:r w:rsidRPr="00142102">
              <w:rPr>
                <w:rFonts w:ascii="Times New Roman" w:eastAsia="標楷體" w:hAnsi="Times New Roman" w:hint="eastAsia"/>
                <w:szCs w:val="24"/>
              </w:rPr>
              <w:t>明確，但被認為可誘導和活化對</w:t>
            </w:r>
            <w:proofErr w:type="gramStart"/>
            <w:r w:rsidRPr="00142102">
              <w:rPr>
                <w:rFonts w:ascii="Times New Roman" w:eastAsia="標楷體" w:hAnsi="Times New Roman" w:hint="eastAsia"/>
                <w:szCs w:val="24"/>
              </w:rPr>
              <w:t>神經髓鞘</w:t>
            </w:r>
            <w:proofErr w:type="gramEnd"/>
            <w:r w:rsidRPr="00142102">
              <w:rPr>
                <w:rFonts w:ascii="Times New Roman" w:eastAsia="標楷體" w:hAnsi="Times New Roman" w:hint="eastAsia"/>
                <w:szCs w:val="24"/>
              </w:rPr>
              <w:t>抗原具有特異性的抑制性</w:t>
            </w:r>
            <w:r w:rsidRPr="00142102">
              <w:rPr>
                <w:rFonts w:ascii="Times New Roman" w:eastAsia="標楷體" w:hAnsi="Times New Roman" w:hint="eastAsia"/>
                <w:szCs w:val="24"/>
              </w:rPr>
              <w:t>T</w:t>
            </w:r>
            <w:r w:rsidRPr="00142102">
              <w:rPr>
                <w:rFonts w:ascii="Times New Roman" w:eastAsia="標楷體" w:hAnsi="Times New Roman" w:hint="eastAsia"/>
                <w:szCs w:val="24"/>
              </w:rPr>
              <w:t>細胞及干擾特定免疫細胞的抗原呈現功能，</w:t>
            </w:r>
            <w:r w:rsidR="001A7C1F">
              <w:rPr>
                <w:rFonts w:ascii="Times New Roman" w:eastAsia="標楷體" w:hAnsi="Times New Roman" w:hint="eastAsia"/>
                <w:szCs w:val="24"/>
              </w:rPr>
              <w:t>藉以</w:t>
            </w:r>
            <w:r w:rsidRPr="00142102">
              <w:rPr>
                <w:rFonts w:ascii="Times New Roman" w:eastAsia="標楷體" w:hAnsi="Times New Roman" w:hint="eastAsia"/>
                <w:szCs w:val="24"/>
              </w:rPr>
              <w:t>調節多發性硬化症病理的免疫過程。</w:t>
            </w:r>
          </w:p>
        </w:tc>
      </w:tr>
      <w:tr w:rsidR="00790553" w:rsidRPr="00E11D7C" w14:paraId="4C7118D6" w14:textId="77777777" w:rsidTr="00DB3A92">
        <w:trPr>
          <w:trHeight w:val="416"/>
          <w:jc w:val="center"/>
        </w:trPr>
        <w:tc>
          <w:tcPr>
            <w:tcW w:w="1985" w:type="dxa"/>
            <w:vAlign w:val="center"/>
          </w:tcPr>
          <w:p w14:paraId="2FD166DF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744" w:type="dxa"/>
          </w:tcPr>
          <w:p w14:paraId="0F6453AE" w14:textId="45B16BEB" w:rsidR="00790553" w:rsidRPr="00224805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</w:rPr>
            </w:pP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20</w:t>
            </w:r>
            <w:r w:rsidR="008F4E2D">
              <w:rPr>
                <w:rFonts w:ascii="Times New Roman" w:eastAsia="標楷體" w:hAnsi="Times New Roman"/>
                <w:kern w:val="0"/>
                <w:szCs w:val="24"/>
              </w:rPr>
              <w:t>24</w:t>
            </w: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8F4E2D">
              <w:rPr>
                <w:rFonts w:ascii="Times New Roman" w:eastAsia="標楷體" w:hAnsi="Times New Roman"/>
                <w:kern w:val="0"/>
                <w:szCs w:val="24"/>
              </w:rPr>
              <w:t>7</w:t>
            </w: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8F4E2D">
              <w:rPr>
                <w:rFonts w:ascii="Times New Roman" w:eastAsia="標楷體" w:hAnsi="Times New Roman"/>
                <w:kern w:val="0"/>
                <w:szCs w:val="24"/>
              </w:rPr>
              <w:t>1</w:t>
            </w:r>
            <w:r w:rsidR="008D4D03">
              <w:rPr>
                <w:rFonts w:ascii="Times New Roman" w:eastAsia="標楷體" w:hAnsi="Times New Roman" w:hint="eastAsia"/>
                <w:kern w:val="0"/>
                <w:szCs w:val="24"/>
              </w:rPr>
              <w:t>2</w:t>
            </w:r>
            <w:r w:rsidR="00271C9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歐洲醫藥管理局</w:t>
            </w:r>
            <w:r w:rsidR="00271C9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(</w:t>
            </w:r>
            <w:r w:rsidR="006269A4" w:rsidRPr="006269A4">
              <w:rPr>
                <w:rFonts w:ascii="Times New Roman" w:eastAsia="標楷體" w:hAnsi="Times New Roman"/>
                <w:szCs w:val="24"/>
              </w:rPr>
              <w:t>EMA</w:t>
            </w:r>
            <w:r w:rsidR="00271C9B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271C9B">
              <w:rPr>
                <w:rFonts w:ascii="Times New Roman" w:eastAsia="標楷體" w:hAnsi="Times New Roman" w:hint="eastAsia"/>
                <w:szCs w:val="24"/>
              </w:rPr>
              <w:t>之藥品安全監視風險評估委員會</w:t>
            </w:r>
            <w:r w:rsidR="00271C9B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6269A4" w:rsidRPr="006269A4">
              <w:rPr>
                <w:rFonts w:ascii="Times New Roman" w:eastAsia="標楷體" w:hAnsi="Times New Roman"/>
                <w:szCs w:val="24"/>
              </w:rPr>
              <w:t>PRAC</w:t>
            </w:r>
            <w:r w:rsidR="00271C9B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271C9B">
              <w:rPr>
                <w:rFonts w:ascii="Times New Roman" w:eastAsia="標楷體" w:hAnsi="Times New Roman" w:hint="eastAsia"/>
                <w:szCs w:val="24"/>
              </w:rPr>
              <w:t>建議</w:t>
            </w:r>
            <w:r w:rsidRPr="00E11D7C">
              <w:rPr>
                <w:rFonts w:ascii="Times New Roman" w:eastAsia="標楷體" w:hAnsi="Times New Roman"/>
              </w:rPr>
              <w:t>發布</w:t>
            </w:r>
            <w:r w:rsidR="00271C9B">
              <w:rPr>
                <w:rFonts w:ascii="Times New Roman" w:eastAsia="標楷體" w:hAnsi="Times New Roman" w:hint="eastAsia"/>
              </w:rPr>
              <w:t>致</w:t>
            </w:r>
            <w:r w:rsidR="00432606">
              <w:rPr>
                <w:rFonts w:ascii="Times New Roman" w:eastAsia="標楷體" w:hAnsi="Times New Roman" w:hint="eastAsia"/>
              </w:rPr>
              <w:t>醫療人員溝通函</w:t>
            </w:r>
            <w:r w:rsidR="001B2DC4">
              <w:rPr>
                <w:rFonts w:ascii="標楷體" w:eastAsia="標楷體" w:hAnsi="標楷體" w:hint="eastAsia"/>
              </w:rPr>
              <w:t>，</w:t>
            </w:r>
            <w:r w:rsidR="000A71F9">
              <w:rPr>
                <w:rFonts w:ascii="標楷體" w:eastAsia="標楷體" w:hAnsi="標楷體" w:hint="eastAsia"/>
              </w:rPr>
              <w:t>提醒</w:t>
            </w:r>
            <w:r w:rsidR="006A4FE1" w:rsidRPr="006A4FE1">
              <w:rPr>
                <w:rFonts w:ascii="Times New Roman" w:eastAsia="標楷體" w:hAnsi="Times New Roman" w:hint="eastAsia"/>
              </w:rPr>
              <w:t>含</w:t>
            </w:r>
            <w:r w:rsidR="006269A4" w:rsidRPr="006269A4">
              <w:rPr>
                <w:rFonts w:ascii="Times New Roman" w:eastAsia="標楷體" w:hAnsi="Times New Roman"/>
              </w:rPr>
              <w:t>glatiramer acetate</w:t>
            </w:r>
            <w:r w:rsidR="006A4FE1" w:rsidRPr="006A4FE1">
              <w:rPr>
                <w:rFonts w:ascii="Times New Roman" w:eastAsia="標楷體" w:hAnsi="Times New Roman" w:hint="eastAsia"/>
              </w:rPr>
              <w:t>成分藥品</w:t>
            </w:r>
            <w:r w:rsidR="00271C9B">
              <w:rPr>
                <w:rFonts w:ascii="Times New Roman" w:eastAsia="標楷體" w:hAnsi="Times New Roman" w:hint="eastAsia"/>
              </w:rPr>
              <w:t>在治療開始的數月甚至是數年後</w:t>
            </w:r>
            <w:r w:rsidR="00EB47C7">
              <w:rPr>
                <w:rFonts w:ascii="標楷體" w:eastAsia="標楷體" w:hAnsi="標楷體" w:hint="eastAsia"/>
              </w:rPr>
              <w:t>，仍</w:t>
            </w:r>
            <w:r w:rsidR="000A71F9">
              <w:rPr>
                <w:rFonts w:ascii="Times New Roman" w:eastAsia="標楷體" w:hAnsi="Times New Roman" w:hint="eastAsia"/>
              </w:rPr>
              <w:t>可能</w:t>
            </w:r>
            <w:r w:rsidR="00224805">
              <w:rPr>
                <w:rFonts w:ascii="Times New Roman" w:eastAsia="標楷體" w:hAnsi="Times New Roman" w:hint="eastAsia"/>
              </w:rPr>
              <w:t>在給藥後短時間內</w:t>
            </w:r>
            <w:r w:rsidR="000A71F9">
              <w:rPr>
                <w:rFonts w:ascii="Times New Roman" w:eastAsia="標楷體" w:hAnsi="Times New Roman" w:hint="eastAsia"/>
              </w:rPr>
              <w:t>發</w:t>
            </w:r>
            <w:r w:rsidR="00EB47C7">
              <w:rPr>
                <w:rFonts w:ascii="Times New Roman" w:eastAsia="標楷體" w:hAnsi="Times New Roman" w:hint="eastAsia"/>
              </w:rPr>
              <w:t>生</w:t>
            </w:r>
            <w:r w:rsidR="006269A4" w:rsidRPr="006269A4">
              <w:rPr>
                <w:rFonts w:ascii="Times New Roman" w:eastAsia="標楷體" w:hAnsi="Times New Roman" w:hint="eastAsia"/>
              </w:rPr>
              <w:t>嚴重過敏性反應</w:t>
            </w:r>
            <w:r w:rsidR="006269A4" w:rsidRPr="006269A4">
              <w:rPr>
                <w:rFonts w:ascii="Times New Roman" w:eastAsia="標楷體" w:hAnsi="Times New Roman" w:hint="eastAsia"/>
              </w:rPr>
              <w:t>(anaphylactic reactions)</w:t>
            </w:r>
            <w:r w:rsidRPr="00E11D7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16EAE573" w14:textId="51CA335B" w:rsidR="00790553" w:rsidRPr="00E11D7C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u w:val="single"/>
              </w:rPr>
            </w:pP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網址：</w:t>
            </w:r>
            <w:hyperlink r:id="rId9" w:history="1">
              <w:r w:rsidR="00532D51" w:rsidRPr="002C4CBE">
                <w:rPr>
                  <w:rStyle w:val="a4"/>
                  <w:rFonts w:ascii="Times New Roman" w:eastAsia="標楷體" w:hAnsi="Times New Roman"/>
                  <w:kern w:val="0"/>
                  <w:szCs w:val="24"/>
                </w:rPr>
                <w:t>https://www.ema.europa.eu/en/news/meeting-highlights-pharmacovigilance-risk-assessment-committee-prac-8-11-july-2024</w:t>
              </w:r>
            </w:hyperlink>
            <w:r w:rsidR="00532D51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</w:p>
        </w:tc>
      </w:tr>
      <w:tr w:rsidR="00790553" w:rsidRPr="00E11D7C" w14:paraId="48E08A00" w14:textId="77777777" w:rsidTr="00DB3A92">
        <w:trPr>
          <w:trHeight w:val="5485"/>
          <w:jc w:val="center"/>
        </w:trPr>
        <w:tc>
          <w:tcPr>
            <w:tcW w:w="1985" w:type="dxa"/>
            <w:vAlign w:val="center"/>
          </w:tcPr>
          <w:p w14:paraId="29D29C17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744" w:type="dxa"/>
          </w:tcPr>
          <w:p w14:paraId="07C3CA24" w14:textId="0DA0FD3E" w:rsidR="00D13084" w:rsidRDefault="00012288" w:rsidP="006844AB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歐盟</w:t>
            </w: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EMA-PRAC</w:t>
            </w: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經評估</w:t>
            </w: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glatiramer acetate</w:t>
            </w: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之嚴重過敏性反應</w:t>
            </w: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(anaphylactic reactions)</w:t>
            </w: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風險的</w:t>
            </w:r>
            <w:r w:rsidR="00FE1BA9">
              <w:rPr>
                <w:rFonts w:ascii="Times New Roman" w:eastAsia="標楷體" w:hAnsi="Times New Roman" w:hint="eastAsia"/>
                <w:kern w:val="0"/>
                <w:szCs w:val="24"/>
              </w:rPr>
              <w:t>現有</w:t>
            </w: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安全性</w:t>
            </w:r>
            <w:r w:rsidR="00FE1BA9">
              <w:rPr>
                <w:rFonts w:ascii="Times New Roman" w:eastAsia="標楷體" w:hAnsi="Times New Roman" w:hint="eastAsia"/>
                <w:kern w:val="0"/>
                <w:szCs w:val="24"/>
              </w:rPr>
              <w:t>數據</w:t>
            </w: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後，結論認為該藥</w:t>
            </w:r>
            <w:r w:rsidR="00FE1BA9">
              <w:rPr>
                <w:rFonts w:ascii="Times New Roman" w:eastAsia="標楷體" w:hAnsi="Times New Roman" w:hint="eastAsia"/>
                <w:kern w:val="0"/>
                <w:szCs w:val="24"/>
              </w:rPr>
              <w:t>品</w:t>
            </w: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與嚴重過敏性反應具有相關性</w:t>
            </w:r>
            <w:r w:rsidR="00BE26C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</w:t>
            </w:r>
            <w:r w:rsidR="00FE1BA9" w:rsidRPr="00D13084">
              <w:rPr>
                <w:rFonts w:ascii="Times New Roman" w:eastAsia="標楷體" w:hAnsi="Times New Roman"/>
                <w:kern w:val="0"/>
                <w:szCs w:val="24"/>
              </w:rPr>
              <w:t>即使在</w:t>
            </w:r>
            <w:r w:rsidR="00583771" w:rsidRPr="00D13084">
              <w:rPr>
                <w:rFonts w:ascii="Times New Roman" w:eastAsia="標楷體" w:hAnsi="Times New Roman" w:hint="eastAsia"/>
                <w:kern w:val="0"/>
                <w:szCs w:val="24"/>
              </w:rPr>
              <w:t>治療開始</w:t>
            </w:r>
            <w:r w:rsidR="00FE1BA9" w:rsidRPr="00D13084">
              <w:rPr>
                <w:rFonts w:ascii="Times New Roman" w:eastAsia="標楷體" w:hAnsi="Times New Roman"/>
                <w:kern w:val="0"/>
                <w:szCs w:val="24"/>
              </w:rPr>
              <w:t>的數月甚至數年後，</w:t>
            </w:r>
            <w:r w:rsidR="00FE1BA9" w:rsidRPr="00D13084">
              <w:rPr>
                <w:rFonts w:ascii="Times New Roman" w:eastAsia="標楷體" w:hAnsi="Times New Roman" w:hint="eastAsia"/>
                <w:kern w:val="0"/>
                <w:szCs w:val="24"/>
              </w:rPr>
              <w:t>仍</w:t>
            </w:r>
            <w:r w:rsidR="00B07697" w:rsidRPr="00D13084">
              <w:rPr>
                <w:rFonts w:ascii="Times New Roman" w:eastAsia="標楷體" w:hAnsi="Times New Roman"/>
                <w:kern w:val="0"/>
                <w:szCs w:val="24"/>
              </w:rPr>
              <w:t>可能</w:t>
            </w:r>
            <w:r w:rsidR="00583771" w:rsidRPr="00D13084">
              <w:rPr>
                <w:rFonts w:ascii="Times New Roman" w:eastAsia="標楷體" w:hAnsi="Times New Roman" w:hint="eastAsia"/>
                <w:kern w:val="0"/>
                <w:szCs w:val="24"/>
              </w:rPr>
              <w:t>在</w:t>
            </w:r>
            <w:r w:rsidR="007B6582" w:rsidRPr="00D13084">
              <w:rPr>
                <w:rFonts w:ascii="Times New Roman" w:eastAsia="標楷體" w:hAnsi="Times New Roman"/>
                <w:kern w:val="0"/>
                <w:szCs w:val="24"/>
              </w:rPr>
              <w:t>glatiramer acetate</w:t>
            </w:r>
            <w:r w:rsidR="003D7CA0" w:rsidRPr="00D13084">
              <w:rPr>
                <w:rFonts w:ascii="Times New Roman" w:eastAsia="標楷體" w:hAnsi="Times New Roman" w:hint="eastAsia"/>
                <w:kern w:val="0"/>
                <w:szCs w:val="24"/>
              </w:rPr>
              <w:t>給</w:t>
            </w:r>
            <w:r w:rsidR="00B07697" w:rsidRPr="00D13084">
              <w:rPr>
                <w:rFonts w:ascii="Times New Roman" w:eastAsia="標楷體" w:hAnsi="Times New Roman"/>
                <w:kern w:val="0"/>
                <w:szCs w:val="24"/>
              </w:rPr>
              <w:t>藥後短時間內發生</w:t>
            </w:r>
            <w:r w:rsidR="00583771" w:rsidRPr="00D13084">
              <w:rPr>
                <w:rFonts w:ascii="Times New Roman" w:eastAsia="標楷體" w:hAnsi="Times New Roman"/>
                <w:kern w:val="0"/>
                <w:szCs w:val="24"/>
              </w:rPr>
              <w:t>嚴重過敏性反應</w:t>
            </w:r>
            <w:r w:rsidR="00B07697" w:rsidRPr="00D13084">
              <w:rPr>
                <w:rFonts w:ascii="Times New Roman" w:eastAsia="標楷體" w:hAnsi="Times New Roman"/>
                <w:kern w:val="0"/>
                <w:szCs w:val="24"/>
              </w:rPr>
              <w:t>，且曾接獲</w:t>
            </w:r>
            <w:r w:rsidR="00E82D09" w:rsidRPr="00D13084">
              <w:rPr>
                <w:rFonts w:ascii="Times New Roman" w:eastAsia="標楷體" w:hAnsi="Times New Roman" w:hint="eastAsia"/>
                <w:kern w:val="0"/>
                <w:szCs w:val="24"/>
              </w:rPr>
              <w:t>死</w:t>
            </w:r>
            <w:r w:rsidR="007B6582" w:rsidRPr="00D13084">
              <w:rPr>
                <w:rFonts w:ascii="Times New Roman" w:eastAsia="標楷體" w:hAnsi="Times New Roman" w:hint="eastAsia"/>
                <w:kern w:val="0"/>
                <w:szCs w:val="24"/>
              </w:rPr>
              <w:t>亡</w:t>
            </w:r>
            <w:r w:rsidR="00B07697" w:rsidRPr="00D13084">
              <w:rPr>
                <w:rFonts w:ascii="Times New Roman" w:eastAsia="標楷體" w:hAnsi="Times New Roman"/>
                <w:kern w:val="0"/>
                <w:szCs w:val="24"/>
              </w:rPr>
              <w:t>案例。</w:t>
            </w:r>
          </w:p>
          <w:p w14:paraId="4993C49D" w14:textId="2FFB51C4" w:rsidR="00FA22F5" w:rsidRPr="00D13084" w:rsidRDefault="00B07697" w:rsidP="006844AB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 w:rsidRPr="00D13084">
              <w:rPr>
                <w:rFonts w:ascii="Times New Roman" w:eastAsia="標楷體" w:hAnsi="Times New Roman"/>
                <w:kern w:val="0"/>
                <w:szCs w:val="24"/>
              </w:rPr>
              <w:t>嚴重過敏性反應</w:t>
            </w:r>
            <w:r w:rsidR="006B2C18" w:rsidRPr="00D13084">
              <w:rPr>
                <w:rFonts w:ascii="Times New Roman" w:eastAsia="標楷體" w:hAnsi="Times New Roman"/>
                <w:kern w:val="0"/>
                <w:szCs w:val="24"/>
              </w:rPr>
              <w:t>的</w:t>
            </w:r>
            <w:r w:rsidR="00C82BAA" w:rsidRPr="00D13084">
              <w:rPr>
                <w:rFonts w:ascii="Times New Roman" w:eastAsia="標楷體" w:hAnsi="Times New Roman" w:hint="eastAsia"/>
                <w:kern w:val="0"/>
                <w:szCs w:val="24"/>
              </w:rPr>
              <w:t>初期</w:t>
            </w:r>
            <w:r w:rsidRPr="00D13084">
              <w:rPr>
                <w:rFonts w:ascii="Times New Roman" w:eastAsia="標楷體" w:hAnsi="Times New Roman"/>
                <w:kern w:val="0"/>
                <w:szCs w:val="24"/>
              </w:rPr>
              <w:t>症狀可能</w:t>
            </w:r>
            <w:r w:rsidR="006B2C18" w:rsidRPr="00D13084">
              <w:rPr>
                <w:rFonts w:ascii="Times New Roman" w:eastAsia="標楷體" w:hAnsi="Times New Roman"/>
                <w:kern w:val="0"/>
                <w:szCs w:val="24"/>
              </w:rPr>
              <w:t>與</w:t>
            </w:r>
            <w:r w:rsidRPr="00D13084">
              <w:rPr>
                <w:rFonts w:ascii="Times New Roman" w:eastAsia="標楷體" w:hAnsi="Times New Roman"/>
                <w:kern w:val="0"/>
                <w:szCs w:val="24"/>
              </w:rPr>
              <w:t>注射後反應</w:t>
            </w:r>
            <w:r w:rsidR="00D13084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="00D13084">
              <w:rPr>
                <w:rFonts w:ascii="Times New Roman" w:eastAsia="標楷體" w:hAnsi="Times New Roman"/>
                <w:kern w:val="0"/>
                <w:szCs w:val="24"/>
              </w:rPr>
              <w:t>post-injection reaction)</w:t>
            </w:r>
            <w:r w:rsidR="003F16D2" w:rsidRPr="00D13084">
              <w:rPr>
                <w:rFonts w:ascii="Times New Roman" w:eastAsia="標楷體" w:hAnsi="Times New Roman" w:hint="eastAsia"/>
                <w:kern w:val="0"/>
                <w:szCs w:val="24"/>
              </w:rPr>
              <w:t>的症狀</w:t>
            </w:r>
            <w:r w:rsidRPr="00D13084">
              <w:rPr>
                <w:rFonts w:ascii="Times New Roman" w:eastAsia="標楷體" w:hAnsi="Times New Roman"/>
                <w:kern w:val="0"/>
                <w:szCs w:val="24"/>
              </w:rPr>
              <w:t>重疊，而</w:t>
            </w:r>
            <w:r w:rsidR="003F16D2" w:rsidRPr="00D13084">
              <w:rPr>
                <w:rFonts w:ascii="Times New Roman" w:eastAsia="標楷體" w:hAnsi="Times New Roman" w:hint="eastAsia"/>
                <w:kern w:val="0"/>
                <w:szCs w:val="24"/>
              </w:rPr>
              <w:t>可能</w:t>
            </w:r>
            <w:r w:rsidRPr="00D13084">
              <w:rPr>
                <w:rFonts w:ascii="Times New Roman" w:eastAsia="標楷體" w:hAnsi="Times New Roman"/>
                <w:kern w:val="0"/>
                <w:szCs w:val="24"/>
              </w:rPr>
              <w:t>導致</w:t>
            </w:r>
            <w:r w:rsidR="006B2C18" w:rsidRPr="00D13084">
              <w:rPr>
                <w:rFonts w:ascii="Times New Roman" w:eastAsia="標楷體" w:hAnsi="Times New Roman"/>
                <w:kern w:val="0"/>
                <w:szCs w:val="24"/>
              </w:rPr>
              <w:t>延遲</w:t>
            </w:r>
            <w:r w:rsidRPr="00D13084">
              <w:rPr>
                <w:rFonts w:ascii="Times New Roman" w:eastAsia="標楷體" w:hAnsi="Times New Roman"/>
                <w:kern w:val="0"/>
                <w:szCs w:val="24"/>
              </w:rPr>
              <w:t>診斷。</w:t>
            </w:r>
          </w:p>
          <w:p w14:paraId="37155812" w14:textId="3410FADB" w:rsidR="00790553" w:rsidRPr="009E6F8F" w:rsidRDefault="00ED0F28" w:rsidP="009E6F8F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 w:rsidRPr="002508F5">
              <w:rPr>
                <w:rFonts w:ascii="Times New Roman" w:eastAsia="標楷體" w:hAnsi="Times New Roman"/>
                <w:kern w:val="0"/>
                <w:szCs w:val="24"/>
              </w:rPr>
              <w:t>PRAC</w:t>
            </w:r>
            <w:r w:rsidR="00F829CE" w:rsidRPr="002508F5">
              <w:rPr>
                <w:rFonts w:ascii="Times New Roman" w:eastAsia="標楷體" w:hAnsi="Times New Roman"/>
                <w:kern w:val="0"/>
                <w:szCs w:val="24"/>
              </w:rPr>
              <w:t>同意</w:t>
            </w:r>
            <w:r w:rsidR="00D13084">
              <w:rPr>
                <w:rFonts w:ascii="Times New Roman" w:eastAsia="標楷體" w:hAnsi="Times New Roman" w:hint="eastAsia"/>
                <w:kern w:val="0"/>
                <w:szCs w:val="24"/>
              </w:rPr>
              <w:t>廠商</w:t>
            </w:r>
            <w:r w:rsidR="00F829CE" w:rsidRPr="002508F5">
              <w:rPr>
                <w:rFonts w:ascii="Times New Roman" w:eastAsia="標楷體" w:hAnsi="Times New Roman"/>
                <w:kern w:val="0"/>
                <w:szCs w:val="24"/>
              </w:rPr>
              <w:t>發布致醫療人員溝通函，</w:t>
            </w:r>
            <w:r w:rsidR="002508F5" w:rsidRPr="002508F5">
              <w:rPr>
                <w:rFonts w:ascii="Times New Roman" w:eastAsia="標楷體" w:hAnsi="Times New Roman"/>
                <w:kern w:val="0"/>
                <w:szCs w:val="24"/>
              </w:rPr>
              <w:t>提醒</w:t>
            </w:r>
            <w:r w:rsidR="002508F5" w:rsidRPr="002508F5">
              <w:rPr>
                <w:rFonts w:ascii="Times New Roman" w:eastAsia="標楷體" w:hAnsi="Times New Roman"/>
                <w:kern w:val="0"/>
                <w:szCs w:val="24"/>
              </w:rPr>
              <w:t>glatiramer acetate</w:t>
            </w:r>
            <w:r w:rsidR="002508F5" w:rsidRPr="002508F5">
              <w:rPr>
                <w:rFonts w:ascii="Times New Roman" w:eastAsia="標楷體" w:hAnsi="Times New Roman"/>
                <w:kern w:val="0"/>
                <w:szCs w:val="24"/>
              </w:rPr>
              <w:t>的嚴重過敏性反應風險</w:t>
            </w:r>
            <w:r w:rsidR="009C214F" w:rsidRPr="002508F5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</w:tc>
      </w:tr>
      <w:tr w:rsidR="00BE26C5" w:rsidRPr="00E11D7C" w14:paraId="6D57E460" w14:textId="77777777" w:rsidTr="00391A76">
        <w:trPr>
          <w:trHeight w:val="13738"/>
          <w:jc w:val="center"/>
        </w:trPr>
        <w:tc>
          <w:tcPr>
            <w:tcW w:w="1985" w:type="dxa"/>
            <w:vAlign w:val="center"/>
          </w:tcPr>
          <w:p w14:paraId="3AD33405" w14:textId="77777777" w:rsidR="009E6F8F" w:rsidRPr="009E6F8F" w:rsidRDefault="009E6F8F" w:rsidP="009E6F8F">
            <w:pPr>
              <w:jc w:val="center"/>
              <w:rPr>
                <w:rFonts w:ascii="Times New Roman" w:eastAsia="標楷體" w:hAnsi="Times New Roman"/>
              </w:rPr>
            </w:pPr>
            <w:r w:rsidRPr="009E6F8F">
              <w:rPr>
                <w:rFonts w:ascii="Times New Roman" w:eastAsia="標楷體" w:hAnsi="Times New Roman" w:hint="eastAsia"/>
              </w:rPr>
              <w:lastRenderedPageBreak/>
              <w:t>食品藥物管理署</w:t>
            </w:r>
          </w:p>
          <w:p w14:paraId="6C2F585A" w14:textId="537F7DF4" w:rsidR="00BE26C5" w:rsidRPr="0055010F" w:rsidRDefault="009E6F8F" w:rsidP="009E6F8F">
            <w:pPr>
              <w:jc w:val="center"/>
              <w:rPr>
                <w:rFonts w:ascii="Times New Roman" w:eastAsia="標楷體" w:hAnsi="Times New Roman"/>
              </w:rPr>
            </w:pPr>
            <w:r w:rsidRPr="009E6F8F">
              <w:rPr>
                <w:rFonts w:ascii="Times New Roman" w:eastAsia="標楷體" w:hAnsi="Times New Roman" w:hint="eastAsia"/>
              </w:rPr>
              <w:t>風險溝通說明</w:t>
            </w:r>
          </w:p>
        </w:tc>
        <w:tc>
          <w:tcPr>
            <w:tcW w:w="7744" w:type="dxa"/>
          </w:tcPr>
          <w:p w14:paraId="3B981D4A" w14:textId="4B0870A7" w:rsidR="00BE26C5" w:rsidRPr="00BE26C5" w:rsidRDefault="00BE26C5" w:rsidP="00DB3A92">
            <w:pPr>
              <w:numPr>
                <w:ilvl w:val="0"/>
                <w:numId w:val="1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食品藥物管理署說明</w:t>
            </w:r>
            <w:r w:rsidRPr="00FA2FFD"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  <w:t>：</w:t>
            </w:r>
          </w:p>
          <w:p w14:paraId="452007C6" w14:textId="741FD8C3" w:rsidR="00BE26C5" w:rsidRDefault="00BE26C5" w:rsidP="00DB3A92">
            <w:pPr>
              <w:pStyle w:val="a3"/>
              <w:widowControl/>
              <w:numPr>
                <w:ilvl w:val="0"/>
                <w:numId w:val="9"/>
              </w:numPr>
              <w:shd w:val="clear" w:color="auto" w:fill="FFFFFF"/>
              <w:spacing w:line="350" w:lineRule="exact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我國核准含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glatiramer acetate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成分藥品許可證共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2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張，其中文仿單已於「禁忌」處刊載「對主成分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(glatiramer acetate)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或列於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1.2 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proofErr w:type="gramStart"/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賦形劑</w:t>
            </w:r>
            <w:proofErr w:type="gramEnd"/>
            <w:r w:rsidRPr="00C034BE">
              <w:rPr>
                <w:rFonts w:ascii="Times New Roman" w:eastAsia="標楷體" w:hAnsi="Times New Roman"/>
                <w:kern w:val="0"/>
                <w:szCs w:val="24"/>
              </w:rPr>
              <w:t>(Mannitol)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過敏者」；於「警語及注意事項」處刊載「有極少數病人有</w:t>
            </w:r>
            <w:proofErr w:type="gramStart"/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痙孿</w:t>
            </w:r>
            <w:proofErr w:type="gramEnd"/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和過敏反應被報告。嚴重過敏反應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例如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: 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支氣管</w:t>
            </w:r>
            <w:proofErr w:type="gramStart"/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痙孿</w:t>
            </w:r>
            <w:proofErr w:type="gramEnd"/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、過敏性反應或蕁麻疹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可能罕見地發生。如果情況嚴重，應採取適當的治療，並停止使用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glatiramer acetate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」；於「副作用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不良反應」處刊載「過敏反應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包括罕見的過敏性休克，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&gt;1/10000, &lt;1/1000)</w:t>
            </w:r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」等安全資訊，</w:t>
            </w:r>
            <w:r w:rsidRPr="00B86870"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惟未刊載嚴重過敏性反應仍可能</w:t>
            </w:r>
            <w:r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於</w:t>
            </w:r>
            <w:r w:rsidRPr="00B86870"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治療開始的數月甚至數年後發生之</w:t>
            </w:r>
            <w:bookmarkStart w:id="0" w:name="_Hlk174107811"/>
            <w:r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相關</w:t>
            </w:r>
            <w:r w:rsidRPr="00B86870"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安全</w:t>
            </w:r>
            <w:r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性</w:t>
            </w:r>
            <w:r w:rsidRPr="00B86870"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資訊</w:t>
            </w:r>
            <w:bookmarkEnd w:id="0"/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6FBEEF4F" w14:textId="0159F36E" w:rsidR="00BE26C5" w:rsidRDefault="00BE26C5" w:rsidP="00DB3A92">
            <w:pPr>
              <w:pStyle w:val="a3"/>
              <w:widowControl/>
              <w:numPr>
                <w:ilvl w:val="0"/>
                <w:numId w:val="9"/>
              </w:numPr>
              <w:shd w:val="clear" w:color="auto" w:fill="FFFFFF"/>
              <w:spacing w:line="350" w:lineRule="exact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proofErr w:type="gramStart"/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本署現</w:t>
            </w:r>
            <w:proofErr w:type="gramEnd"/>
            <w:r w:rsidRPr="00B86870">
              <w:rPr>
                <w:rFonts w:ascii="Times New Roman" w:eastAsia="標楷體" w:hAnsi="Times New Roman" w:hint="eastAsia"/>
                <w:kern w:val="0"/>
                <w:szCs w:val="24"/>
              </w:rPr>
              <w:t>正評估是否針對該成分藥品採取進一步風險管控措施。</w:t>
            </w:r>
          </w:p>
          <w:p w14:paraId="72DC638D" w14:textId="77777777" w:rsidR="009E6F8F" w:rsidRPr="009E6F8F" w:rsidRDefault="009E6F8F" w:rsidP="00DB3A92">
            <w:pPr>
              <w:pStyle w:val="a3"/>
              <w:widowControl/>
              <w:shd w:val="clear" w:color="auto" w:fill="FFFFFF"/>
              <w:spacing w:line="350" w:lineRule="exact"/>
              <w:ind w:leftChars="0" w:left="284"/>
              <w:rPr>
                <w:rFonts w:ascii="Times New Roman" w:eastAsia="標楷體" w:hAnsi="Times New Roman"/>
                <w:kern w:val="0"/>
                <w:szCs w:val="24"/>
              </w:rPr>
            </w:pPr>
          </w:p>
          <w:p w14:paraId="0AEFAE67" w14:textId="77777777" w:rsidR="00BE26C5" w:rsidRPr="00FA2FFD" w:rsidRDefault="00BE26C5" w:rsidP="00DB3A92">
            <w:pPr>
              <w:widowControl/>
              <w:numPr>
                <w:ilvl w:val="0"/>
                <w:numId w:val="1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</w:pPr>
            <w:r w:rsidRPr="00FA2FFD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FA2FFD"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  <w:t>應注意事項：</w:t>
            </w:r>
          </w:p>
          <w:p w14:paraId="28024CE8" w14:textId="38F10D97" w:rsidR="00BE26C5" w:rsidRPr="00FF5AB3" w:rsidRDefault="00BE26C5" w:rsidP="00DB3A92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spacing w:line="350" w:lineRule="exact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G</w:t>
            </w:r>
            <w:r w:rsidRPr="0052781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latiramer acetate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具有</w:t>
            </w:r>
            <w:r w:rsidRPr="0052781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嚴重過</w:t>
            </w:r>
            <w:r w:rsidRPr="003D7CA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敏性反應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的</w:t>
            </w:r>
            <w:r w:rsidRPr="003D7CA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風險</w:t>
            </w:r>
            <w:r>
              <w:rPr>
                <w:rFonts w:ascii="新細明體" w:hAnsi="新細明體" w:hint="eastAsia"/>
                <w:color w:val="000000"/>
                <w:kern w:val="0"/>
                <w:szCs w:val="24"/>
              </w:rPr>
              <w:t>，</w:t>
            </w:r>
            <w:r w:rsidRPr="00FF5AB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即使在治療開始的數月甚至數年後，仍可能在</w:t>
            </w:r>
            <w:r w:rsidRPr="00FF5AB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glatiramer acetate</w:t>
            </w:r>
            <w:r w:rsidRPr="00FF5AB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給藥後短時間內發生嚴重過敏性反應，且曾接獲死亡案例。</w:t>
            </w:r>
          </w:p>
          <w:p w14:paraId="7B4D2F8D" w14:textId="77777777" w:rsidR="00BE26C5" w:rsidRDefault="00BE26C5" w:rsidP="00DB3A92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spacing w:line="350" w:lineRule="exact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 w:rsidRPr="006215CA">
              <w:rPr>
                <w:rFonts w:ascii="Times New Roman" w:eastAsia="標楷體" w:hAnsi="Times New Roman"/>
                <w:kern w:val="0"/>
                <w:szCs w:val="24"/>
              </w:rPr>
              <w:t>嚴重過敏性反應的初始症狀可能與注射後反應的症狀重疊，若病人經診斷發生嚴重過敏性反應，應給予適當治療並須停用</w:t>
            </w:r>
            <w:r w:rsidRPr="006215CA">
              <w:rPr>
                <w:rFonts w:ascii="Times New Roman" w:eastAsia="標楷體" w:hAnsi="Times New Roman"/>
                <w:kern w:val="0"/>
                <w:szCs w:val="24"/>
              </w:rPr>
              <w:t>glatiramer acetate</w:t>
            </w:r>
            <w:r w:rsidRPr="006215CA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64B8BFB4" w14:textId="42D268C2" w:rsidR="00BE26C5" w:rsidRPr="00DB3A92" w:rsidRDefault="00BE26C5" w:rsidP="00DB3A92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spacing w:line="350" w:lineRule="exact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應告知病人和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或其照護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者使用</w:t>
            </w:r>
            <w:r w:rsidRPr="00C14609">
              <w:rPr>
                <w:rFonts w:ascii="Times New Roman" w:eastAsia="標楷體" w:hAnsi="Times New Roman" w:hint="eastAsia"/>
                <w:kern w:val="0"/>
                <w:szCs w:val="24"/>
              </w:rPr>
              <w:t>glatiramer acetate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可能的嚴重過敏性反應風險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，並提醒用藥後若出現嚴重過敏性反應的相關症狀與徵候，應立即尋求醫療協助。</w:t>
            </w:r>
          </w:p>
          <w:p w14:paraId="1D09B37E" w14:textId="77777777" w:rsidR="00DB3A92" w:rsidRPr="009E6F8F" w:rsidRDefault="00DB3A92" w:rsidP="00DB3A92">
            <w:pPr>
              <w:pStyle w:val="a3"/>
              <w:widowControl/>
              <w:shd w:val="clear" w:color="auto" w:fill="FFFFFF"/>
              <w:spacing w:line="350" w:lineRule="exact"/>
              <w:ind w:leftChars="0" w:left="284"/>
              <w:rPr>
                <w:rFonts w:ascii="Times New Roman" w:eastAsia="標楷體" w:hAnsi="Times New Roman" w:hint="eastAsia"/>
                <w:kern w:val="0"/>
                <w:szCs w:val="24"/>
              </w:rPr>
            </w:pPr>
          </w:p>
          <w:p w14:paraId="1E9F497D" w14:textId="77777777" w:rsidR="00BE26C5" w:rsidRPr="00FA2FFD" w:rsidRDefault="00BE26C5" w:rsidP="00DB3A92">
            <w:pPr>
              <w:widowControl/>
              <w:numPr>
                <w:ilvl w:val="0"/>
                <w:numId w:val="1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FA2FFD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</w:p>
          <w:p w14:paraId="5FD305DE" w14:textId="77777777" w:rsidR="00BE26C5" w:rsidRPr="00FF5AB3" w:rsidRDefault="00BE26C5" w:rsidP="00DB3A92">
            <w:pPr>
              <w:pStyle w:val="a3"/>
              <w:numPr>
                <w:ilvl w:val="0"/>
                <w:numId w:val="3"/>
              </w:numPr>
              <w:spacing w:line="350" w:lineRule="exact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 w:rsidRPr="00FF5AB3">
              <w:rPr>
                <w:rFonts w:ascii="Times New Roman" w:eastAsia="標楷體" w:hAnsi="Times New Roman" w:hint="eastAsia"/>
                <w:kern w:val="0"/>
                <w:szCs w:val="24"/>
              </w:rPr>
              <w:t>Glatiramer acetate</w:t>
            </w:r>
            <w:r w:rsidRPr="00FF5AB3">
              <w:rPr>
                <w:rFonts w:ascii="Times New Roman" w:eastAsia="標楷體" w:hAnsi="Times New Roman" w:hint="eastAsia"/>
                <w:kern w:val="0"/>
                <w:szCs w:val="24"/>
              </w:rPr>
              <w:t>具有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可能危及生命的</w:t>
            </w:r>
            <w:r w:rsidRPr="00FF5AB3">
              <w:rPr>
                <w:rFonts w:ascii="Times New Roman" w:eastAsia="標楷體" w:hAnsi="Times New Roman" w:hint="eastAsia"/>
                <w:kern w:val="0"/>
                <w:szCs w:val="24"/>
              </w:rPr>
              <w:t>嚴重過敏性反應風險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Pr="00FF5AB3">
              <w:rPr>
                <w:rFonts w:ascii="Times New Roman" w:eastAsia="標楷體" w:hAnsi="Times New Roman" w:hint="eastAsia"/>
                <w:kern w:val="0"/>
                <w:szCs w:val="24"/>
              </w:rPr>
              <w:t>即使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已使用多次或長期用藥</w:t>
            </w:r>
            <w:r w:rsidRPr="00FF5AB3">
              <w:rPr>
                <w:rFonts w:ascii="Times New Roman" w:eastAsia="標楷體" w:hAnsi="Times New Roman" w:hint="eastAsia"/>
                <w:kern w:val="0"/>
                <w:szCs w:val="24"/>
              </w:rPr>
              <w:t>，仍可能在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注射</w:t>
            </w:r>
            <w:r w:rsidRPr="00FF5AB3">
              <w:rPr>
                <w:rFonts w:ascii="Times New Roman" w:eastAsia="標楷體" w:hAnsi="Times New Roman" w:hint="eastAsia"/>
                <w:kern w:val="0"/>
                <w:szCs w:val="24"/>
              </w:rPr>
              <w:t>後短時間內發生嚴重過敏性反應。</w:t>
            </w:r>
          </w:p>
          <w:p w14:paraId="3D94FE19" w14:textId="77777777" w:rsidR="00BE26C5" w:rsidRPr="00B86870" w:rsidRDefault="00BE26C5" w:rsidP="00DB3A92">
            <w:pPr>
              <w:pStyle w:val="a3"/>
              <w:numPr>
                <w:ilvl w:val="0"/>
                <w:numId w:val="3"/>
              </w:numPr>
              <w:spacing w:line="350" w:lineRule="exact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 w:rsidRPr="00B86870">
              <w:rPr>
                <w:rFonts w:ascii="Times New Roman" w:eastAsia="標楷體" w:hAnsi="Times New Roman"/>
                <w:kern w:val="0"/>
                <w:szCs w:val="24"/>
              </w:rPr>
              <w:t>若於使用</w:t>
            </w:r>
            <w:r w:rsidRPr="00B86870">
              <w:rPr>
                <w:rFonts w:ascii="Times New Roman" w:eastAsia="標楷體" w:hAnsi="Times New Roman"/>
                <w:kern w:val="0"/>
                <w:szCs w:val="24"/>
              </w:rPr>
              <w:t>glatiramer acetate</w:t>
            </w:r>
            <w:r w:rsidRPr="00B86870">
              <w:rPr>
                <w:rFonts w:ascii="Times New Roman" w:eastAsia="標楷體" w:hAnsi="Times New Roman"/>
                <w:kern w:val="0"/>
                <w:szCs w:val="24"/>
              </w:rPr>
              <w:t>治療期間發生任何不適，如皮膚潮紅、紅疹、呼吸困難</w:t>
            </w:r>
            <w:r w:rsidRPr="00B86870">
              <w:rPr>
                <w:rFonts w:ascii="Times New Roman" w:eastAsia="標楷體" w:hAnsi="Times New Roman"/>
                <w:kern w:val="0"/>
                <w:szCs w:val="24"/>
              </w:rPr>
              <w:t>(</w:t>
            </w:r>
            <w:r w:rsidRPr="00B86870">
              <w:rPr>
                <w:rFonts w:ascii="Times New Roman" w:eastAsia="標楷體" w:hAnsi="Times New Roman"/>
                <w:kern w:val="0"/>
                <w:szCs w:val="24"/>
              </w:rPr>
              <w:t>可能伴隨臉部、嘴唇、舌頭或咽喉腫脹</w:t>
            </w:r>
            <w:r w:rsidRPr="00B86870">
              <w:rPr>
                <w:rFonts w:ascii="Times New Roman" w:eastAsia="標楷體" w:hAnsi="Times New Roman"/>
                <w:kern w:val="0"/>
                <w:szCs w:val="24"/>
              </w:rPr>
              <w:t>)</w:t>
            </w:r>
            <w:r w:rsidRPr="00B86870">
              <w:rPr>
                <w:rFonts w:ascii="Times New Roman" w:eastAsia="標楷體" w:hAnsi="Times New Roman"/>
                <w:kern w:val="0"/>
                <w:szCs w:val="24"/>
              </w:rPr>
              <w:t>、腹痛、全身無力、暈眩、心悸、血壓快速下降等，請立即停用</w:t>
            </w:r>
            <w:r w:rsidRPr="00B86870">
              <w:rPr>
                <w:rFonts w:ascii="Times New Roman" w:eastAsia="標楷體" w:hAnsi="Times New Roman"/>
                <w:kern w:val="0"/>
                <w:szCs w:val="24"/>
              </w:rPr>
              <w:t>glatiramer acetate</w:t>
            </w:r>
            <w:r w:rsidRPr="00B86870">
              <w:rPr>
                <w:rFonts w:ascii="Times New Roman" w:eastAsia="標楷體" w:hAnsi="Times New Roman"/>
                <w:kern w:val="0"/>
                <w:szCs w:val="24"/>
              </w:rPr>
              <w:t>並尋求醫療協助。</w:t>
            </w:r>
          </w:p>
          <w:p w14:paraId="17E4E6DE" w14:textId="45A4D854" w:rsidR="00BE26C5" w:rsidRDefault="00BE26C5" w:rsidP="00DB3A92">
            <w:pPr>
              <w:pStyle w:val="a3"/>
              <w:numPr>
                <w:ilvl w:val="0"/>
                <w:numId w:val="3"/>
              </w:numPr>
              <w:spacing w:line="350" w:lineRule="exact"/>
              <w:ind w:leftChars="0" w:left="284" w:hanging="284"/>
              <w:rPr>
                <w:rFonts w:ascii="Times New Roman" w:eastAsia="標楷體" w:hAnsi="Times New Roman"/>
                <w:kern w:val="0"/>
                <w:szCs w:val="24"/>
              </w:rPr>
            </w:pPr>
            <w:r w:rsidRPr="006C55B8">
              <w:rPr>
                <w:rFonts w:ascii="Times New Roman" w:eastAsia="標楷體" w:hAnsi="Times New Roman" w:hint="eastAsia"/>
                <w:kern w:val="0"/>
                <w:szCs w:val="24"/>
              </w:rPr>
              <w:t>若對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於</w:t>
            </w:r>
            <w:r w:rsidRPr="006C55B8">
              <w:rPr>
                <w:rFonts w:ascii="Times New Roman" w:eastAsia="標楷體" w:hAnsi="Times New Roman" w:hint="eastAsia"/>
                <w:kern w:val="0"/>
                <w:szCs w:val="24"/>
              </w:rPr>
              <w:t>用藥有任何的疑問或疑慮，請諮詢醫療人員。</w:t>
            </w:r>
          </w:p>
          <w:p w14:paraId="600BE162" w14:textId="77777777" w:rsidR="00DB3A92" w:rsidRPr="006C55B8" w:rsidRDefault="00DB3A92" w:rsidP="00DB3A92">
            <w:pPr>
              <w:pStyle w:val="a3"/>
              <w:spacing w:line="350" w:lineRule="exact"/>
              <w:ind w:leftChars="0" w:left="284"/>
              <w:rPr>
                <w:rFonts w:ascii="Times New Roman" w:eastAsia="標楷體" w:hAnsi="Times New Roman" w:hint="eastAsia"/>
                <w:kern w:val="0"/>
                <w:szCs w:val="24"/>
              </w:rPr>
            </w:pPr>
          </w:p>
          <w:p w14:paraId="6F5D677C" w14:textId="77777777" w:rsidR="00BE26C5" w:rsidRPr="002508F5" w:rsidRDefault="00BE26C5" w:rsidP="00DB3A92">
            <w:pPr>
              <w:widowControl/>
              <w:numPr>
                <w:ilvl w:val="0"/>
                <w:numId w:val="1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</w:rPr>
              <w:t>醫療人員或病人懷疑因為使用</w:t>
            </w:r>
            <w:r>
              <w:rPr>
                <w:rFonts w:ascii="Times New Roman" w:eastAsia="標楷體" w:hAnsi="Times New Roman" w:hint="eastAsia"/>
              </w:rPr>
              <w:t>(</w:t>
            </w:r>
            <w:r w:rsidRPr="00FA2FFD">
              <w:rPr>
                <w:rFonts w:ascii="Times New Roman" w:eastAsia="標楷體" w:hAnsi="Times New Roman"/>
              </w:rPr>
              <w:t>服用</w:t>
            </w:r>
            <w:r>
              <w:rPr>
                <w:rFonts w:ascii="Times New Roman" w:eastAsia="標楷體" w:hAnsi="Times New Roman" w:hint="eastAsia"/>
              </w:rPr>
              <w:t>)</w:t>
            </w:r>
            <w:r w:rsidRPr="00FA2FFD">
              <w:rPr>
                <w:rFonts w:ascii="Times New Roman" w:eastAsia="標楷體" w:hAnsi="Times New Roman"/>
              </w:rPr>
              <w:t>藥品導致不良</w:t>
            </w:r>
            <w:r w:rsidRPr="009E6F8F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反應</w:t>
            </w:r>
            <w:r w:rsidRPr="00FA2FFD">
              <w:rPr>
                <w:rFonts w:ascii="Times New Roman" w:eastAsia="標楷體" w:hAnsi="Times New Roman"/>
              </w:rPr>
              <w:t>發生時，請立即通報給衛生</w:t>
            </w:r>
            <w:proofErr w:type="gramStart"/>
            <w:r w:rsidRPr="00FA2FFD">
              <w:rPr>
                <w:rFonts w:ascii="Times New Roman" w:eastAsia="標楷體" w:hAnsi="Times New Roman"/>
              </w:rPr>
              <w:t>福利部所建置</w:t>
            </w:r>
            <w:proofErr w:type="gramEnd"/>
            <w:r w:rsidRPr="00FA2FFD">
              <w:rPr>
                <w:rFonts w:ascii="Times New Roman" w:eastAsia="標楷體" w:hAnsi="Times New Roman"/>
              </w:rPr>
              <w:t>之全國藥物不良反應通報中心，並副知所屬廠商，藥物不良反應通報專線</w:t>
            </w:r>
            <w:r w:rsidRPr="00FA2FFD">
              <w:rPr>
                <w:rFonts w:ascii="Times New Roman" w:eastAsia="標楷體" w:hAnsi="Times New Roman"/>
              </w:rPr>
              <w:t>02-2396-0100</w:t>
            </w:r>
            <w:r w:rsidRPr="00FA2FFD">
              <w:rPr>
                <w:rFonts w:ascii="Times New Roman" w:eastAsia="標楷體" w:hAnsi="Times New Roman"/>
              </w:rPr>
              <w:t>，網站：</w:t>
            </w:r>
            <w:hyperlink r:id="rId10" w:history="1">
              <w:r w:rsidRPr="00FA2FFD">
                <w:rPr>
                  <w:rStyle w:val="a4"/>
                  <w:rFonts w:ascii="Times New Roman" w:eastAsia="標楷體" w:hAnsi="Times New Roman"/>
                </w:rPr>
                <w:t>https://adr.fda.gov.tw</w:t>
              </w:r>
            </w:hyperlink>
            <w:r w:rsidRPr="00FA2FFD">
              <w:rPr>
                <w:rFonts w:ascii="Times New Roman" w:eastAsia="標楷體" w:hAnsi="Times New Roman"/>
              </w:rPr>
              <w:t>；衛生福利部食品藥物管理署獲知藥品安全訊息時，</w:t>
            </w:r>
            <w:proofErr w:type="gramStart"/>
            <w:r w:rsidRPr="00FA2FFD">
              <w:rPr>
                <w:rFonts w:ascii="Times New Roman" w:eastAsia="標楷體" w:hAnsi="Times New Roman"/>
              </w:rPr>
              <w:t>均會蒐集</w:t>
            </w:r>
            <w:proofErr w:type="gramEnd"/>
            <w:r w:rsidRPr="00FA2FFD">
              <w:rPr>
                <w:rFonts w:ascii="Times New Roman" w:eastAsia="標楷體" w:hAnsi="Times New Roman"/>
              </w:rPr>
              <w:t>彙整相關資料進行評估，並對於新增之藥品風險採取對應之風險管控措施。</w:t>
            </w:r>
          </w:p>
        </w:tc>
      </w:tr>
    </w:tbl>
    <w:p w14:paraId="754E6DD5" w14:textId="77777777" w:rsidR="0026262E" w:rsidRPr="00790553" w:rsidRDefault="0026262E" w:rsidP="00541901"/>
    <w:sectPr w:rsidR="0026262E" w:rsidRPr="00790553" w:rsidSect="00DB3A92">
      <w:footerReference w:type="default" r:id="rId11"/>
      <w:pgSz w:w="11906" w:h="16838"/>
      <w:pgMar w:top="1134" w:right="1588" w:bottom="1134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2F1A6" w14:textId="77777777" w:rsidR="00E25DE5" w:rsidRDefault="00E25DE5" w:rsidP="004761F0">
      <w:r>
        <w:separator/>
      </w:r>
    </w:p>
  </w:endnote>
  <w:endnote w:type="continuationSeparator" w:id="0">
    <w:p w14:paraId="6A75D867" w14:textId="77777777" w:rsidR="00E25DE5" w:rsidRDefault="00E25DE5" w:rsidP="00476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9389982"/>
      <w:docPartObj>
        <w:docPartGallery w:val="Page Numbers (Bottom of Page)"/>
        <w:docPartUnique/>
      </w:docPartObj>
    </w:sdtPr>
    <w:sdtEndPr/>
    <w:sdtContent>
      <w:p w14:paraId="578923EC" w14:textId="3B45C436" w:rsidR="00B86870" w:rsidRDefault="00B8687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141E973C" w14:textId="77777777" w:rsidR="00B86870" w:rsidRDefault="00B8687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26799" w14:textId="77777777" w:rsidR="00E25DE5" w:rsidRDefault="00E25DE5" w:rsidP="004761F0">
      <w:r>
        <w:separator/>
      </w:r>
    </w:p>
  </w:footnote>
  <w:footnote w:type="continuationSeparator" w:id="0">
    <w:p w14:paraId="42C10492" w14:textId="77777777" w:rsidR="00E25DE5" w:rsidRDefault="00E25DE5" w:rsidP="00476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11971"/>
    <w:multiLevelType w:val="hybridMultilevel"/>
    <w:tmpl w:val="410E481E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05E0FB8"/>
    <w:multiLevelType w:val="hybridMultilevel"/>
    <w:tmpl w:val="9A760D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CEF7B5B"/>
    <w:multiLevelType w:val="hybridMultilevel"/>
    <w:tmpl w:val="6E3200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94071C8"/>
    <w:multiLevelType w:val="hybridMultilevel"/>
    <w:tmpl w:val="A7BE8EA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9A17636"/>
    <w:multiLevelType w:val="hybridMultilevel"/>
    <w:tmpl w:val="9A760D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5351253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D806683"/>
    <w:multiLevelType w:val="hybridMultilevel"/>
    <w:tmpl w:val="ED5EC0A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4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553"/>
    <w:rsid w:val="00012288"/>
    <w:rsid w:val="0002468F"/>
    <w:rsid w:val="00034D26"/>
    <w:rsid w:val="00037D8B"/>
    <w:rsid w:val="0004143B"/>
    <w:rsid w:val="000538A4"/>
    <w:rsid w:val="000565E4"/>
    <w:rsid w:val="00060161"/>
    <w:rsid w:val="00060E9E"/>
    <w:rsid w:val="000A3BEC"/>
    <w:rsid w:val="000A71F9"/>
    <w:rsid w:val="000B3078"/>
    <w:rsid w:val="000B332E"/>
    <w:rsid w:val="000B37DA"/>
    <w:rsid w:val="000B3A53"/>
    <w:rsid w:val="000B459F"/>
    <w:rsid w:val="000C0831"/>
    <w:rsid w:val="000C27BF"/>
    <w:rsid w:val="000C4D00"/>
    <w:rsid w:val="000C65C7"/>
    <w:rsid w:val="000D66B3"/>
    <w:rsid w:val="000E2BF1"/>
    <w:rsid w:val="00101300"/>
    <w:rsid w:val="00111223"/>
    <w:rsid w:val="00116D39"/>
    <w:rsid w:val="00122D24"/>
    <w:rsid w:val="00142102"/>
    <w:rsid w:val="00152CDF"/>
    <w:rsid w:val="00154075"/>
    <w:rsid w:val="001574FF"/>
    <w:rsid w:val="00162863"/>
    <w:rsid w:val="00163FD2"/>
    <w:rsid w:val="0017378C"/>
    <w:rsid w:val="00183BFC"/>
    <w:rsid w:val="00185DE5"/>
    <w:rsid w:val="001919D1"/>
    <w:rsid w:val="001972FE"/>
    <w:rsid w:val="001A2AFF"/>
    <w:rsid w:val="001A5E79"/>
    <w:rsid w:val="001A79F2"/>
    <w:rsid w:val="001A7C1F"/>
    <w:rsid w:val="001B2DC4"/>
    <w:rsid w:val="001E2019"/>
    <w:rsid w:val="001F2067"/>
    <w:rsid w:val="001F4283"/>
    <w:rsid w:val="00212161"/>
    <w:rsid w:val="00216CBB"/>
    <w:rsid w:val="00224805"/>
    <w:rsid w:val="002354FD"/>
    <w:rsid w:val="00244496"/>
    <w:rsid w:val="002508F5"/>
    <w:rsid w:val="002534FA"/>
    <w:rsid w:val="00260A8C"/>
    <w:rsid w:val="0026262E"/>
    <w:rsid w:val="00271219"/>
    <w:rsid w:val="00271C9B"/>
    <w:rsid w:val="002772DE"/>
    <w:rsid w:val="002903EF"/>
    <w:rsid w:val="00292385"/>
    <w:rsid w:val="002A38BE"/>
    <w:rsid w:val="002A67A2"/>
    <w:rsid w:val="002A7F91"/>
    <w:rsid w:val="002B26B0"/>
    <w:rsid w:val="002B3F72"/>
    <w:rsid w:val="002C1306"/>
    <w:rsid w:val="002D1896"/>
    <w:rsid w:val="002D41CF"/>
    <w:rsid w:val="002E68AE"/>
    <w:rsid w:val="002F23FA"/>
    <w:rsid w:val="002F70FB"/>
    <w:rsid w:val="00304994"/>
    <w:rsid w:val="00324B5A"/>
    <w:rsid w:val="003346E9"/>
    <w:rsid w:val="00376F0A"/>
    <w:rsid w:val="003904DE"/>
    <w:rsid w:val="00391A76"/>
    <w:rsid w:val="003A085E"/>
    <w:rsid w:val="003A20E4"/>
    <w:rsid w:val="003A2BE9"/>
    <w:rsid w:val="003A6C18"/>
    <w:rsid w:val="003B46BA"/>
    <w:rsid w:val="003D43A8"/>
    <w:rsid w:val="003D7743"/>
    <w:rsid w:val="003D7CA0"/>
    <w:rsid w:val="003E3A3F"/>
    <w:rsid w:val="003E3C57"/>
    <w:rsid w:val="003F16D2"/>
    <w:rsid w:val="003F2028"/>
    <w:rsid w:val="00400610"/>
    <w:rsid w:val="00400D3B"/>
    <w:rsid w:val="004106BA"/>
    <w:rsid w:val="00432606"/>
    <w:rsid w:val="004373B4"/>
    <w:rsid w:val="00440111"/>
    <w:rsid w:val="00440F51"/>
    <w:rsid w:val="004651F3"/>
    <w:rsid w:val="0047151D"/>
    <w:rsid w:val="00474F50"/>
    <w:rsid w:val="004761F0"/>
    <w:rsid w:val="00491CFD"/>
    <w:rsid w:val="00493E73"/>
    <w:rsid w:val="00496F61"/>
    <w:rsid w:val="004A1DE9"/>
    <w:rsid w:val="004A42CB"/>
    <w:rsid w:val="004C59BA"/>
    <w:rsid w:val="004D31EC"/>
    <w:rsid w:val="004D7A2D"/>
    <w:rsid w:val="004E3A8A"/>
    <w:rsid w:val="004E44CD"/>
    <w:rsid w:val="004E4565"/>
    <w:rsid w:val="004F03CB"/>
    <w:rsid w:val="00510251"/>
    <w:rsid w:val="00523805"/>
    <w:rsid w:val="00524B55"/>
    <w:rsid w:val="00527813"/>
    <w:rsid w:val="00530A6E"/>
    <w:rsid w:val="00532D51"/>
    <w:rsid w:val="00541901"/>
    <w:rsid w:val="0055156F"/>
    <w:rsid w:val="005549EF"/>
    <w:rsid w:val="00565DBC"/>
    <w:rsid w:val="00583771"/>
    <w:rsid w:val="005850ED"/>
    <w:rsid w:val="005866E3"/>
    <w:rsid w:val="00592B86"/>
    <w:rsid w:val="005A4472"/>
    <w:rsid w:val="005A632C"/>
    <w:rsid w:val="005B0AA0"/>
    <w:rsid w:val="005B7341"/>
    <w:rsid w:val="005D045A"/>
    <w:rsid w:val="00602791"/>
    <w:rsid w:val="00603B4F"/>
    <w:rsid w:val="00614558"/>
    <w:rsid w:val="00615F1B"/>
    <w:rsid w:val="00621028"/>
    <w:rsid w:val="006215CA"/>
    <w:rsid w:val="006227EE"/>
    <w:rsid w:val="006269A4"/>
    <w:rsid w:val="00646B6F"/>
    <w:rsid w:val="006519B9"/>
    <w:rsid w:val="00656893"/>
    <w:rsid w:val="00664C65"/>
    <w:rsid w:val="006710CE"/>
    <w:rsid w:val="00675E8F"/>
    <w:rsid w:val="00676EE1"/>
    <w:rsid w:val="006844AB"/>
    <w:rsid w:val="006879A6"/>
    <w:rsid w:val="00693785"/>
    <w:rsid w:val="00697C58"/>
    <w:rsid w:val="006A4FE1"/>
    <w:rsid w:val="006B2C18"/>
    <w:rsid w:val="006B64DB"/>
    <w:rsid w:val="006B7466"/>
    <w:rsid w:val="006C09C9"/>
    <w:rsid w:val="006C55B8"/>
    <w:rsid w:val="006E53F3"/>
    <w:rsid w:val="006F2EC2"/>
    <w:rsid w:val="006F57BF"/>
    <w:rsid w:val="006F7E39"/>
    <w:rsid w:val="00733539"/>
    <w:rsid w:val="00753575"/>
    <w:rsid w:val="0075759E"/>
    <w:rsid w:val="00767416"/>
    <w:rsid w:val="007904B8"/>
    <w:rsid w:val="00790553"/>
    <w:rsid w:val="007A6DB4"/>
    <w:rsid w:val="007B6582"/>
    <w:rsid w:val="007D24E5"/>
    <w:rsid w:val="007D3D4E"/>
    <w:rsid w:val="007D5BB9"/>
    <w:rsid w:val="007E45E5"/>
    <w:rsid w:val="007F4460"/>
    <w:rsid w:val="007F4C3A"/>
    <w:rsid w:val="007F553E"/>
    <w:rsid w:val="008079AA"/>
    <w:rsid w:val="008130C0"/>
    <w:rsid w:val="00814850"/>
    <w:rsid w:val="00822957"/>
    <w:rsid w:val="00822C4D"/>
    <w:rsid w:val="00825246"/>
    <w:rsid w:val="00833BB5"/>
    <w:rsid w:val="00861E4E"/>
    <w:rsid w:val="00865B0A"/>
    <w:rsid w:val="00874080"/>
    <w:rsid w:val="00876394"/>
    <w:rsid w:val="008947EC"/>
    <w:rsid w:val="008A08F1"/>
    <w:rsid w:val="008A79C9"/>
    <w:rsid w:val="008A7DB0"/>
    <w:rsid w:val="008C0FF5"/>
    <w:rsid w:val="008D2006"/>
    <w:rsid w:val="008D4D03"/>
    <w:rsid w:val="008D4E8A"/>
    <w:rsid w:val="008E2E5F"/>
    <w:rsid w:val="008E3249"/>
    <w:rsid w:val="008F4E2D"/>
    <w:rsid w:val="008F7FF7"/>
    <w:rsid w:val="00900E21"/>
    <w:rsid w:val="00905F2F"/>
    <w:rsid w:val="00913A45"/>
    <w:rsid w:val="0091414D"/>
    <w:rsid w:val="00921540"/>
    <w:rsid w:val="00940463"/>
    <w:rsid w:val="0094065A"/>
    <w:rsid w:val="00947D8F"/>
    <w:rsid w:val="009545DD"/>
    <w:rsid w:val="00955063"/>
    <w:rsid w:val="00974986"/>
    <w:rsid w:val="00987989"/>
    <w:rsid w:val="009A19D2"/>
    <w:rsid w:val="009A2856"/>
    <w:rsid w:val="009C214F"/>
    <w:rsid w:val="009D10EB"/>
    <w:rsid w:val="009D2AA4"/>
    <w:rsid w:val="009D6000"/>
    <w:rsid w:val="009E6F8F"/>
    <w:rsid w:val="009F0188"/>
    <w:rsid w:val="009F2D94"/>
    <w:rsid w:val="009F3BCB"/>
    <w:rsid w:val="009F4B9D"/>
    <w:rsid w:val="009F5320"/>
    <w:rsid w:val="00A012CE"/>
    <w:rsid w:val="00A12E66"/>
    <w:rsid w:val="00A15373"/>
    <w:rsid w:val="00A35197"/>
    <w:rsid w:val="00A44A80"/>
    <w:rsid w:val="00A46361"/>
    <w:rsid w:val="00A527AC"/>
    <w:rsid w:val="00A60065"/>
    <w:rsid w:val="00A60A10"/>
    <w:rsid w:val="00A654E0"/>
    <w:rsid w:val="00A675E9"/>
    <w:rsid w:val="00A80FF3"/>
    <w:rsid w:val="00A81D8D"/>
    <w:rsid w:val="00A8277D"/>
    <w:rsid w:val="00A86F40"/>
    <w:rsid w:val="00AA1A8F"/>
    <w:rsid w:val="00AA4F1D"/>
    <w:rsid w:val="00AA5E00"/>
    <w:rsid w:val="00AB5AA0"/>
    <w:rsid w:val="00AD21CA"/>
    <w:rsid w:val="00AE6A92"/>
    <w:rsid w:val="00AF064A"/>
    <w:rsid w:val="00AF4C91"/>
    <w:rsid w:val="00B0187B"/>
    <w:rsid w:val="00B07697"/>
    <w:rsid w:val="00B11590"/>
    <w:rsid w:val="00B11A22"/>
    <w:rsid w:val="00B14BFC"/>
    <w:rsid w:val="00B22221"/>
    <w:rsid w:val="00B24CB6"/>
    <w:rsid w:val="00B369F4"/>
    <w:rsid w:val="00B421C1"/>
    <w:rsid w:val="00B444D4"/>
    <w:rsid w:val="00B5166C"/>
    <w:rsid w:val="00B53EBD"/>
    <w:rsid w:val="00B61D2A"/>
    <w:rsid w:val="00B64EB6"/>
    <w:rsid w:val="00B652A8"/>
    <w:rsid w:val="00B76445"/>
    <w:rsid w:val="00B86127"/>
    <w:rsid w:val="00B86870"/>
    <w:rsid w:val="00B96E03"/>
    <w:rsid w:val="00BA0A8A"/>
    <w:rsid w:val="00BA16DB"/>
    <w:rsid w:val="00BA5492"/>
    <w:rsid w:val="00BA6D6D"/>
    <w:rsid w:val="00BB2F18"/>
    <w:rsid w:val="00BD1B2F"/>
    <w:rsid w:val="00BE26C5"/>
    <w:rsid w:val="00BE3A4E"/>
    <w:rsid w:val="00BE5BCC"/>
    <w:rsid w:val="00C01F63"/>
    <w:rsid w:val="00C034BE"/>
    <w:rsid w:val="00C10D2D"/>
    <w:rsid w:val="00C14609"/>
    <w:rsid w:val="00C46F8C"/>
    <w:rsid w:val="00C61FD2"/>
    <w:rsid w:val="00C829FF"/>
    <w:rsid w:val="00C82BAA"/>
    <w:rsid w:val="00C95201"/>
    <w:rsid w:val="00CA524C"/>
    <w:rsid w:val="00CC3707"/>
    <w:rsid w:val="00CC575F"/>
    <w:rsid w:val="00CE25B3"/>
    <w:rsid w:val="00CE4C5B"/>
    <w:rsid w:val="00CE5316"/>
    <w:rsid w:val="00CF373D"/>
    <w:rsid w:val="00D00DA0"/>
    <w:rsid w:val="00D00FCB"/>
    <w:rsid w:val="00D126F7"/>
    <w:rsid w:val="00D13084"/>
    <w:rsid w:val="00D2586C"/>
    <w:rsid w:val="00D27E55"/>
    <w:rsid w:val="00D34E60"/>
    <w:rsid w:val="00D42032"/>
    <w:rsid w:val="00D5291D"/>
    <w:rsid w:val="00D574BB"/>
    <w:rsid w:val="00D94E1B"/>
    <w:rsid w:val="00D95337"/>
    <w:rsid w:val="00D95BB8"/>
    <w:rsid w:val="00DA118C"/>
    <w:rsid w:val="00DB103D"/>
    <w:rsid w:val="00DB3A92"/>
    <w:rsid w:val="00DB532F"/>
    <w:rsid w:val="00DB5E27"/>
    <w:rsid w:val="00DD0EEE"/>
    <w:rsid w:val="00DD4655"/>
    <w:rsid w:val="00DF0702"/>
    <w:rsid w:val="00DF2D57"/>
    <w:rsid w:val="00DF414B"/>
    <w:rsid w:val="00E023E2"/>
    <w:rsid w:val="00E02AFC"/>
    <w:rsid w:val="00E1528F"/>
    <w:rsid w:val="00E1624B"/>
    <w:rsid w:val="00E1762F"/>
    <w:rsid w:val="00E25739"/>
    <w:rsid w:val="00E25DE5"/>
    <w:rsid w:val="00E265EC"/>
    <w:rsid w:val="00E27980"/>
    <w:rsid w:val="00E45991"/>
    <w:rsid w:val="00E50FD2"/>
    <w:rsid w:val="00E521E1"/>
    <w:rsid w:val="00E623A2"/>
    <w:rsid w:val="00E732F3"/>
    <w:rsid w:val="00E82D09"/>
    <w:rsid w:val="00EA4402"/>
    <w:rsid w:val="00EA5170"/>
    <w:rsid w:val="00EB0910"/>
    <w:rsid w:val="00EB11A2"/>
    <w:rsid w:val="00EB47C7"/>
    <w:rsid w:val="00ED0F28"/>
    <w:rsid w:val="00ED1BC4"/>
    <w:rsid w:val="00ED2949"/>
    <w:rsid w:val="00EF229E"/>
    <w:rsid w:val="00EF3603"/>
    <w:rsid w:val="00F06DB4"/>
    <w:rsid w:val="00F108B0"/>
    <w:rsid w:val="00F12B3C"/>
    <w:rsid w:val="00F14649"/>
    <w:rsid w:val="00F1637C"/>
    <w:rsid w:val="00F2000C"/>
    <w:rsid w:val="00F24F3A"/>
    <w:rsid w:val="00F36693"/>
    <w:rsid w:val="00F62FBB"/>
    <w:rsid w:val="00F66FE5"/>
    <w:rsid w:val="00F72971"/>
    <w:rsid w:val="00F829CE"/>
    <w:rsid w:val="00F836E9"/>
    <w:rsid w:val="00F95531"/>
    <w:rsid w:val="00FA157D"/>
    <w:rsid w:val="00FA22F5"/>
    <w:rsid w:val="00FA2FFD"/>
    <w:rsid w:val="00FB0CFB"/>
    <w:rsid w:val="00FC4B4D"/>
    <w:rsid w:val="00FC6215"/>
    <w:rsid w:val="00FD483D"/>
    <w:rsid w:val="00FE1BA9"/>
    <w:rsid w:val="00FF1305"/>
    <w:rsid w:val="00FF2705"/>
    <w:rsid w:val="00FF34E4"/>
    <w:rsid w:val="00FF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2211D"/>
  <w15:chartTrackingRefBased/>
  <w15:docId w15:val="{D03BE2F3-E226-449E-98B1-DDDC376CC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553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link w:val="10"/>
    <w:uiPriority w:val="99"/>
    <w:qFormat/>
    <w:rsid w:val="0079055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790553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paragraph" w:styleId="Web">
    <w:name w:val="Normal (Web)"/>
    <w:basedOn w:val="a"/>
    <w:uiPriority w:val="99"/>
    <w:rsid w:val="0079055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styleId="a3">
    <w:name w:val="List Paragraph"/>
    <w:basedOn w:val="a"/>
    <w:uiPriority w:val="34"/>
    <w:qFormat/>
    <w:rsid w:val="00790553"/>
    <w:pPr>
      <w:ind w:leftChars="200" w:left="480"/>
    </w:pPr>
  </w:style>
  <w:style w:type="character" w:styleId="a4">
    <w:name w:val="Hyperlink"/>
    <w:basedOn w:val="a0"/>
    <w:uiPriority w:val="99"/>
    <w:rsid w:val="00790553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761F0"/>
    <w:rPr>
      <w:rFonts w:ascii="Calibri" w:eastAsia="新細明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761F0"/>
    <w:rPr>
      <w:rFonts w:ascii="Calibri" w:eastAsia="新細明體" w:hAnsi="Calibri" w:cs="Times New Roman"/>
      <w:sz w:val="20"/>
      <w:szCs w:val="20"/>
    </w:rPr>
  </w:style>
  <w:style w:type="character" w:styleId="a9">
    <w:name w:val="Unresolved Mention"/>
    <w:basedOn w:val="a0"/>
    <w:uiPriority w:val="99"/>
    <w:semiHidden/>
    <w:unhideWhenUsed/>
    <w:rsid w:val="004715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mspiq.fda.gov.tw/web/DRPIQ/DRPIQLicSear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ma.europa.eu/en/news/meeting-highlights-pharmacovigilance-risk-assessment-committee-prac-8-11-july-2024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E88AC-98DE-4682-9879-58135FF0E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361</Words>
  <Characters>2062</Characters>
  <Application>Microsoft Office Word</Application>
  <DocSecurity>0</DocSecurity>
  <Lines>17</Lines>
  <Paragraphs>4</Paragraphs>
  <ScaleCrop>false</ScaleCrop>
  <Company>TDRF</Company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swy</dc:creator>
  <cp:keywords/>
  <dc:description/>
  <cp:lastModifiedBy>陳怡婷</cp:lastModifiedBy>
  <cp:revision>8</cp:revision>
  <cp:lastPrinted>2024-08-09T07:04:00Z</cp:lastPrinted>
  <dcterms:created xsi:type="dcterms:W3CDTF">2024-08-09T03:24:00Z</dcterms:created>
  <dcterms:modified xsi:type="dcterms:W3CDTF">2024-08-12T08:02:00Z</dcterms:modified>
</cp:coreProperties>
</file>