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602"/>
      </w:tblGrid>
      <w:tr w:rsidR="00211E09" w:rsidRPr="00136184" w14:paraId="29857EAF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4BDE" w14:textId="5B3B79BF" w:rsidR="00211E09" w:rsidRPr="00F5040F" w:rsidRDefault="008623B8" w:rsidP="00E70EF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標楷體" w:cs="Times New Roman" w:hint="eastAsia"/>
                <w:sz w:val="36"/>
                <w:szCs w:val="36"/>
              </w:rPr>
              <w:t>含</w:t>
            </w:r>
            <w:r>
              <w:rPr>
                <w:rFonts w:ascii="Times New Roman" w:eastAsia="標楷體" w:hAnsi="標楷體" w:cs="Times New Roman" w:hint="eastAsia"/>
                <w:sz w:val="36"/>
                <w:szCs w:val="36"/>
              </w:rPr>
              <w:t>a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zathioprine</w:t>
            </w:r>
            <w:r w:rsid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、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mercaptopurine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與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febuxostat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136184" w14:paraId="6AAC7A94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159BCCB" w14:textId="47B1FE17"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</w:t>
            </w:r>
            <w:r w:rsidR="00D759A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13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12674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8</w:t>
            </w:r>
          </w:p>
        </w:tc>
      </w:tr>
      <w:tr w:rsidR="00211E09" w:rsidRPr="00136184" w14:paraId="511EE191" w14:textId="77777777" w:rsidTr="00844BFB">
        <w:trPr>
          <w:trHeight w:val="333"/>
          <w:jc w:val="center"/>
        </w:trPr>
        <w:tc>
          <w:tcPr>
            <w:tcW w:w="2127" w:type="dxa"/>
            <w:vAlign w:val="center"/>
          </w:tcPr>
          <w:p w14:paraId="75E780DE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602" w:type="dxa"/>
          </w:tcPr>
          <w:p w14:paraId="4D47A8AD" w14:textId="311D4B0B" w:rsidR="00211E09" w:rsidRPr="009C62C5" w:rsidRDefault="001060B9" w:rsidP="00E70EF8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a</w:t>
            </w:r>
            <w:r w:rsidR="00D759AA" w:rsidRPr="00D759AA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zathioprine</w:t>
            </w:r>
            <w:r w:rsidR="00D759AA" w:rsidRPr="00D759AA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、</w:t>
            </w:r>
            <w:r w:rsidR="00D759AA" w:rsidRPr="00D759AA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mercaptopurine</w:t>
            </w:r>
            <w:r w:rsidR="00D759AA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、</w:t>
            </w:r>
            <w:r w:rsidR="00D759AA" w:rsidRPr="00D759AA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febuxostat</w:t>
            </w:r>
          </w:p>
        </w:tc>
      </w:tr>
      <w:tr w:rsidR="00211E09" w:rsidRPr="00136184" w14:paraId="06F46A5E" w14:textId="77777777" w:rsidTr="00844BFB">
        <w:trPr>
          <w:trHeight w:val="333"/>
          <w:jc w:val="center"/>
        </w:trPr>
        <w:tc>
          <w:tcPr>
            <w:tcW w:w="2127" w:type="dxa"/>
            <w:vAlign w:val="center"/>
          </w:tcPr>
          <w:p w14:paraId="28C06705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783D0181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602" w:type="dxa"/>
          </w:tcPr>
          <w:p w14:paraId="0ED04127" w14:textId="0B9199EF" w:rsidR="00A601E6" w:rsidRDefault="00A601E6" w:rsidP="007B0F91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准含</w:t>
            </w:r>
            <w:r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azathioprine</w:t>
            </w:r>
            <w:r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7B0F91" w:rsidRPr="00A03108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4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BC1871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BC1871"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mercaptopurine</w:t>
            </w:r>
            <w:r w:rsidR="00BC1871"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BC1871"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="00BC1871"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BC1871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BC1871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BC1871"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febuxostat</w:t>
            </w:r>
            <w:r w:rsidR="00BC1871"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藥品許可證共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="00A26FB7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A26FB7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3F7DD5F" w14:textId="34CCBBC3"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r w:rsidR="0009758E" w:rsidRPr="0009758E">
              <w:rPr>
                <w:rStyle w:val="ab"/>
                <w:rFonts w:ascii="Times New Roman" w:hAnsi="Times New Roman"/>
                <w:b w:val="0"/>
                <w:sz w:val="24"/>
                <w:szCs w:val="24"/>
              </w:rPr>
              <w:t>https://mcp.fda.gov.tw/</w:t>
            </w:r>
          </w:p>
        </w:tc>
      </w:tr>
      <w:tr w:rsidR="00211E09" w:rsidRPr="00136184" w14:paraId="73FE49F1" w14:textId="77777777" w:rsidTr="00844BFB">
        <w:trPr>
          <w:trHeight w:val="2465"/>
          <w:jc w:val="center"/>
        </w:trPr>
        <w:tc>
          <w:tcPr>
            <w:tcW w:w="2127" w:type="dxa"/>
            <w:vAlign w:val="center"/>
          </w:tcPr>
          <w:p w14:paraId="69A15E81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602" w:type="dxa"/>
          </w:tcPr>
          <w:p w14:paraId="7B01C8FC" w14:textId="05509CC7" w:rsidR="00657D92" w:rsidRPr="00031455" w:rsidRDefault="00657D92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Mercaptopurine</w:t>
            </w:r>
            <w:r w:rsidR="00837D9F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(</w:t>
            </w:r>
            <w:r w:rsidRPr="00031455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6-MP</w:t>
            </w:r>
            <w:r w:rsidR="00837D9F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)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：急性白血病及慢性骨髓白血病。</w:t>
            </w:r>
          </w:p>
          <w:p w14:paraId="5885A7AC" w14:textId="0F52EAAE" w:rsidR="00314CA8" w:rsidRPr="00031455" w:rsidRDefault="00CE6B1F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Azathioprine</w:t>
            </w:r>
            <w:r w:rsidR="005A2B3B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：腎臟移植手術防止排斥作用的輔助療法、全身紅斑性狼瘡、重度風濕性關節炎、急慢性白血病</w:t>
            </w:r>
            <w:r w:rsidR="002E77D9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。</w:t>
            </w:r>
          </w:p>
          <w:p w14:paraId="6EB36A34" w14:textId="7C225D1D" w:rsidR="00D760CD" w:rsidRPr="00031455" w:rsidRDefault="002E77D9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F</w:t>
            </w:r>
            <w:r w:rsidR="00CE6B1F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ebuxostat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</w:t>
            </w:r>
            <w:r w:rsidR="00340311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 xml:space="preserve">1. 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治療慢性痛風病人的高尿酸血症。不建議用於無症狀的高尿酸血症者</w:t>
            </w:r>
            <w:r w:rsidR="00797816" w:rsidRPr="000314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；</w:t>
            </w:r>
            <w:r w:rsidR="00340311" w:rsidRPr="000314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2. 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用於因血液腫瘤接受化療，發生腫瘤溶解症</w:t>
            </w:r>
            <w:r w:rsidR="00615F81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候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群</w:t>
            </w:r>
            <w:r w:rsidR="007B0F91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(</w:t>
            </w:r>
            <w:r w:rsidR="00615F81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t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 xml:space="preserve">umor </w:t>
            </w:r>
            <w:r w:rsidR="00615F81">
              <w:rPr>
                <w:rFonts w:ascii="Times New Roman" w:eastAsia="標楷體" w:hAnsi="標楷體"/>
                <w:color w:val="000000"/>
                <w:kern w:val="0"/>
                <w:szCs w:val="24"/>
              </w:rPr>
              <w:t>l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 xml:space="preserve">ysis </w:t>
            </w:r>
            <w:r w:rsidR="00615F81">
              <w:rPr>
                <w:rFonts w:ascii="Times New Roman" w:eastAsia="標楷體" w:hAnsi="標楷體"/>
                <w:color w:val="000000"/>
                <w:kern w:val="0"/>
                <w:szCs w:val="24"/>
              </w:rPr>
              <w:t>s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yndrome</w:t>
            </w:r>
            <w:r w:rsidR="007B0F91">
              <w:rPr>
                <w:rFonts w:ascii="Times New Roman" w:eastAsia="標楷體" w:hAnsi="標楷體"/>
                <w:color w:val="000000"/>
                <w:kern w:val="0"/>
                <w:szCs w:val="24"/>
              </w:rPr>
              <w:t>)</w:t>
            </w:r>
            <w:r w:rsidR="00340311" w:rsidRPr="000314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的中度至高度風險成年病人，以預防和治療高尿酸血症。</w:t>
            </w:r>
            <w:r w:rsidR="008623B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</w:t>
            </w:r>
          </w:p>
        </w:tc>
      </w:tr>
      <w:tr w:rsidR="00211E09" w:rsidRPr="00136184" w14:paraId="54EB9E63" w14:textId="77777777" w:rsidTr="00844BFB">
        <w:trPr>
          <w:jc w:val="center"/>
        </w:trPr>
        <w:tc>
          <w:tcPr>
            <w:tcW w:w="2127" w:type="dxa"/>
            <w:vAlign w:val="center"/>
          </w:tcPr>
          <w:p w14:paraId="7D67A8E5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602" w:type="dxa"/>
          </w:tcPr>
          <w:p w14:paraId="36E3AE53" w14:textId="078AFAB3" w:rsidR="00657D92" w:rsidRDefault="00657D92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M</w:t>
            </w:r>
            <w:r w:rsidRPr="00D759AA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ercaptopurine</w:t>
            </w:r>
            <w:r w:rsidR="008D7E1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(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6-MP</w:t>
            </w:r>
            <w:r w:rsidR="008D7E1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)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</w:t>
            </w:r>
            <w:r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m</w:t>
            </w:r>
            <w:r w:rsidRPr="00314CA8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ercaptopurine</w:t>
            </w:r>
            <w:r w:rsidRPr="00314CA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是一種無活性的前驅藥物，可作為嘌呤</w:t>
            </w:r>
            <w:proofErr w:type="gramStart"/>
            <w:r w:rsidRPr="00314CA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拮抗劑</w:t>
            </w:r>
            <w:proofErr w:type="gramEnd"/>
            <w:r w:rsidR="008D7E1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(</w:t>
            </w:r>
            <w:r w:rsidRPr="005657EA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purine antagonist</w:t>
            </w:r>
            <w:r w:rsidR="008D7E1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)</w:t>
            </w:r>
            <w:r w:rsidRPr="00314CA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，但需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經</w:t>
            </w:r>
            <w:r w:rsidRPr="00314CA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細胞攝取並在細胞內合成代謝為</w:t>
            </w:r>
            <w:r w:rsidRPr="00314CA8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thioguanine nucleotides</w:t>
            </w:r>
            <w:r w:rsidR="008D7E1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(</w:t>
            </w:r>
            <w:r w:rsidRPr="00314CA8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TGN</w:t>
            </w:r>
            <w:r w:rsidR="008D7E1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)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，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TGN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可嵌入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DNA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和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RNA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造成細胞毒性。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TGN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和其他</w:t>
            </w:r>
            <w:r w:rsidR="00FE7E9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6-MP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代謝物亦可抑制嘌呤合成</w:t>
            </w:r>
            <w:r w:rsidR="00FE7E9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以及</w:t>
            </w:r>
            <w:r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嘌呤與核苷酸相互轉換。</w:t>
            </w:r>
          </w:p>
          <w:p w14:paraId="4B77AA6F" w14:textId="5BEB8275" w:rsidR="00FE7E93" w:rsidRDefault="00E94ECC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D759AA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Azathioprine</w:t>
            </w:r>
            <w:r w:rsidR="00340311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</w:t>
            </w:r>
            <w:r w:rsidR="00657D92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a</w:t>
            </w:r>
            <w:r w:rsidR="00657D92" w:rsidRPr="00314CA8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zathiop</w:t>
            </w:r>
            <w:r w:rsidR="00657D92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rine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為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6-MP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的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imidazole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衍生物，在體內經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glutathione-S-transferase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快速分解成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6-MP</w:t>
            </w:r>
            <w:r w:rsidR="00FE7E93" w:rsidRPr="00CD14AF">
              <w:rPr>
                <w:rFonts w:ascii="Times New Roman" w:eastAsia="標楷體" w:hAnsi="Times New Roman"/>
                <w:szCs w:val="24"/>
              </w:rPr>
              <w:t>和</w:t>
            </w:r>
            <w:proofErr w:type="spellStart"/>
            <w:r w:rsidR="00FE7E93" w:rsidRPr="00CD14AF">
              <w:rPr>
                <w:rFonts w:ascii="Times New Roman" w:eastAsia="標楷體" w:hAnsi="Times New Roman"/>
                <w:szCs w:val="24"/>
              </w:rPr>
              <w:t>methylnitroimidazole</w:t>
            </w:r>
            <w:proofErr w:type="spellEnd"/>
            <w:r w:rsidR="00FE7E93">
              <w:rPr>
                <w:rFonts w:ascii="Times New Roman" w:eastAsia="標楷體" w:hAnsi="Times New Roman" w:hint="eastAsia"/>
                <w:szCs w:val="24"/>
              </w:rPr>
              <w:t>。可能作用機轉包含釋出</w:t>
            </w:r>
            <w:proofErr w:type="gramStart"/>
            <w:r w:rsidR="00FE7E93" w:rsidRPr="00314CA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嘌呤</w:t>
            </w:r>
            <w:r w:rsidR="00FE7E9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類抗代謝</w:t>
            </w:r>
            <w:proofErr w:type="gramEnd"/>
            <w:r w:rsidR="00FE7E9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物</w:t>
            </w:r>
            <w:r w:rsidR="00FE7E93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6-MP</w:t>
            </w:r>
            <w:r w:rsidR="00D706CC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及阻斷核酸生成步驟，阻止免疫反應有關的細胞增生。</w:t>
            </w:r>
          </w:p>
          <w:p w14:paraId="0CC74D42" w14:textId="6A1745A3" w:rsidR="005A2B3B" w:rsidRPr="00031455" w:rsidRDefault="005A2B3B" w:rsidP="00031455">
            <w:pPr>
              <w:pStyle w:val="a9"/>
              <w:numPr>
                <w:ilvl w:val="0"/>
                <w:numId w:val="41"/>
              </w:numPr>
              <w:tabs>
                <w:tab w:val="left" w:pos="1010"/>
              </w:tabs>
              <w:ind w:leftChars="0" w:left="177" w:hanging="177"/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D759AA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F</w:t>
            </w:r>
            <w:r w:rsidR="00E94ECC" w:rsidRPr="00D759AA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ebuxostat</w:t>
            </w:r>
            <w:r w:rsidR="00340311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：</w:t>
            </w:r>
            <w:r w:rsidR="00031455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f</w:t>
            </w:r>
            <w:r w:rsidR="00340311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ebuxostat</w:t>
            </w:r>
            <w:r w:rsidR="00340311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為</w:t>
            </w:r>
            <w:r w:rsidR="00340311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黃嘌呤氧化酶抑制劑</w:t>
            </w:r>
            <w:r w:rsidR="008D7E1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(</w:t>
            </w:r>
            <w:r w:rsidR="00031455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xanthine oxidase inhibitor</w:t>
            </w:r>
            <w:r w:rsidR="008D7E1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)</w:t>
            </w:r>
            <w:r w:rsidR="00340311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，可降低血清尿酸</w:t>
            </w:r>
            <w:r w:rsidR="00340311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達到</w:t>
            </w:r>
            <w:r w:rsidR="00340311" w:rsidRPr="00031455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治療</w:t>
            </w:r>
            <w:r w:rsidR="00340311" w:rsidRPr="00031455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作用。</w:t>
            </w:r>
          </w:p>
        </w:tc>
      </w:tr>
      <w:tr w:rsidR="00211E09" w:rsidRPr="00136184" w14:paraId="6CAFF3A7" w14:textId="77777777" w:rsidTr="00844BFB">
        <w:trPr>
          <w:trHeight w:val="896"/>
          <w:jc w:val="center"/>
        </w:trPr>
        <w:tc>
          <w:tcPr>
            <w:tcW w:w="2127" w:type="dxa"/>
            <w:vAlign w:val="center"/>
          </w:tcPr>
          <w:p w14:paraId="6E282BC1" w14:textId="77777777"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602" w:type="dxa"/>
          </w:tcPr>
          <w:p w14:paraId="16238B9E" w14:textId="65E3FF1A" w:rsidR="00D759AA" w:rsidRPr="00C527F6" w:rsidRDefault="00411675" w:rsidP="00AD36B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全國藥物不良反應通報中心接獲數例疑似因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azathioprine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C527F6">
              <w:rPr>
                <w:rFonts w:ascii="Times New Roman" w:eastAsia="標楷體" w:hAnsi="Times New Roman"/>
                <w:color w:val="000000" w:themeColor="text1"/>
                <w:szCs w:val="24"/>
              </w:rPr>
              <w:t>6-MP</w:t>
            </w:r>
            <w:r w:rsidRPr="00C527F6">
              <w:rPr>
                <w:rFonts w:ascii="Times New Roman" w:eastAsia="標楷體" w:hAnsi="Times New Roman"/>
                <w:color w:val="000000" w:themeColor="text1"/>
              </w:rPr>
              <w:t>與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febuxostat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合併使用</w:t>
            </w:r>
            <w:r w:rsidR="006C0E94"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發生交互作用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而導致嚴重不良反應之通報案例，</w:t>
            </w: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其中包含死亡案</w:t>
            </w:r>
            <w:r w:rsidR="00615F8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</w:t>
            </w: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</w:tc>
      </w:tr>
      <w:tr w:rsidR="009E3815" w:rsidRPr="00136184" w14:paraId="793FFCC1" w14:textId="77777777" w:rsidTr="009E3815">
        <w:trPr>
          <w:trHeight w:val="3440"/>
          <w:jc w:val="center"/>
        </w:trPr>
        <w:tc>
          <w:tcPr>
            <w:tcW w:w="2127" w:type="dxa"/>
            <w:vAlign w:val="center"/>
          </w:tcPr>
          <w:p w14:paraId="352343E8" w14:textId="77777777" w:rsidR="009E3815" w:rsidRPr="00C859E3" w:rsidRDefault="009E3815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lastRenderedPageBreak/>
              <w:t>藥品安全有關資訊分析及描述</w:t>
            </w:r>
          </w:p>
        </w:tc>
        <w:tc>
          <w:tcPr>
            <w:tcW w:w="7602" w:type="dxa"/>
          </w:tcPr>
          <w:p w14:paraId="500E04B7" w14:textId="0ABE1646" w:rsidR="009E3815" w:rsidRPr="00AD0385" w:rsidRDefault="009E3815" w:rsidP="00F91D4A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 w:left="240" w:hangingChars="100" w:hanging="240"/>
              <w:jc w:val="both"/>
              <w:rPr>
                <w:rFonts w:ascii="Times New Roman" w:eastAsia="標楷體" w:hAnsi="Times New Roman"/>
                <w:szCs w:val="24"/>
              </w:rPr>
            </w:pPr>
            <w:r w:rsidRPr="00CD14AF">
              <w:rPr>
                <w:rFonts w:ascii="Times New Roman" w:eastAsia="標楷體" w:hAnsi="Times New Roman"/>
                <w:szCs w:val="24"/>
              </w:rPr>
              <w:t>Azathioprine</w:t>
            </w:r>
            <w:r w:rsidRPr="00CD14AF">
              <w:rPr>
                <w:rFonts w:ascii="Times New Roman" w:eastAsia="標楷體" w:hAnsi="Times New Roman"/>
                <w:szCs w:val="24"/>
              </w:rPr>
              <w:t>在體內分解</w:t>
            </w:r>
            <w:r>
              <w:rPr>
                <w:rFonts w:ascii="Times New Roman" w:eastAsia="標楷體" w:hAnsi="Times New Roman" w:hint="eastAsia"/>
                <w:szCs w:val="24"/>
              </w:rPr>
              <w:t>為</w:t>
            </w:r>
            <w:r w:rsidRPr="00CD14AF">
              <w:rPr>
                <w:rFonts w:ascii="Times New Roman" w:eastAsia="標楷體" w:hAnsi="Times New Roman"/>
                <w:szCs w:val="24"/>
              </w:rPr>
              <w:t>6-MP</w:t>
            </w:r>
            <w:r>
              <w:rPr>
                <w:rFonts w:ascii="Times New Roman" w:eastAsia="標楷體" w:hAnsi="Times New Roman" w:hint="eastAsia"/>
                <w:szCs w:val="24"/>
              </w:rPr>
              <w:t>，而</w:t>
            </w:r>
            <w:r w:rsidRPr="00CD14AF">
              <w:rPr>
                <w:rFonts w:ascii="Times New Roman" w:eastAsia="標楷體" w:hAnsi="Times New Roman"/>
                <w:szCs w:val="24"/>
              </w:rPr>
              <w:t>黃嘌呤氧化酶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CD14AF">
              <w:rPr>
                <w:rFonts w:ascii="Times New Roman" w:eastAsia="標楷體" w:hAnsi="Times New Roman"/>
                <w:szCs w:val="24"/>
              </w:rPr>
              <w:t>xanthine oxidase, XO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szCs w:val="24"/>
              </w:rPr>
              <w:t>參與</w:t>
            </w:r>
            <w:r>
              <w:rPr>
                <w:rFonts w:ascii="Times New Roman" w:eastAsia="標楷體" w:hAnsi="Times New Roman" w:hint="eastAsia"/>
                <w:szCs w:val="24"/>
              </w:rPr>
              <w:t>6-MP</w:t>
            </w:r>
            <w:r>
              <w:rPr>
                <w:rFonts w:ascii="Times New Roman" w:eastAsia="標楷體" w:hAnsi="Times New Roman" w:hint="eastAsia"/>
                <w:szCs w:val="24"/>
              </w:rPr>
              <w:t>的代謝，因此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當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azathioprine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或</w:t>
            </w:r>
            <w:r w:rsidRPr="00C85111">
              <w:rPr>
                <w:rFonts w:ascii="Times New Roman" w:eastAsia="標楷體" w:hAnsi="Times New Roman"/>
                <w:color w:val="000000" w:themeColor="text1"/>
                <w:szCs w:val="24"/>
              </w:rPr>
              <w:t>6-MP</w:t>
            </w:r>
            <w:r w:rsidRPr="00C85111">
              <w:rPr>
                <w:rFonts w:ascii="Times New Roman" w:eastAsia="標楷體" w:hAnsi="Times New Roman"/>
                <w:color w:val="000000" w:themeColor="text1"/>
                <w:szCs w:val="24"/>
              </w:rPr>
              <w:t>與</w:t>
            </w:r>
            <w:r w:rsidRPr="00CD14AF">
              <w:rPr>
                <w:rFonts w:ascii="Times New Roman" w:eastAsia="標楷體" w:hAnsi="Times New Roman"/>
                <w:szCs w:val="24"/>
              </w:rPr>
              <w:t>黃嘌呤氧化酶</w:t>
            </w:r>
            <w:r>
              <w:rPr>
                <w:rFonts w:ascii="Times New Roman" w:eastAsia="標楷體" w:hAnsi="Times New Roman" w:hint="eastAsia"/>
                <w:szCs w:val="24"/>
              </w:rPr>
              <w:t>抑制劑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併用時，</w:t>
            </w:r>
            <w:r w:rsidRPr="00C85111">
              <w:rPr>
                <w:rFonts w:ascii="Times New Roman" w:eastAsia="標楷體" w:hAnsi="Times New Roman"/>
                <w:szCs w:val="24"/>
              </w:rPr>
              <w:t>可能導致</w:t>
            </w:r>
            <w:r w:rsidRPr="00C85111">
              <w:rPr>
                <w:rFonts w:ascii="Times New Roman" w:eastAsia="標楷體" w:hAnsi="Times New Roman"/>
                <w:szCs w:val="24"/>
              </w:rPr>
              <w:t>azathioprine</w:t>
            </w:r>
            <w:r w:rsidRPr="00C85111">
              <w:rPr>
                <w:rFonts w:ascii="Times New Roman" w:eastAsia="標楷體" w:hAnsi="Times New Roman"/>
                <w:szCs w:val="24"/>
              </w:rPr>
              <w:t>代謝物</w:t>
            </w:r>
            <w:r w:rsidRPr="00C85111">
              <w:rPr>
                <w:rFonts w:ascii="Times New Roman" w:eastAsia="標楷體" w:hAnsi="Times New Roman"/>
                <w:szCs w:val="24"/>
              </w:rPr>
              <w:t>6-MP</w:t>
            </w:r>
            <w:r w:rsidRPr="00C85111">
              <w:rPr>
                <w:rFonts w:ascii="Times New Roman" w:eastAsia="標楷體" w:hAnsi="Times New Roman"/>
                <w:szCs w:val="24"/>
              </w:rPr>
              <w:t>的血中濃度增加而造成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嚴重毒性反應。</w:t>
            </w:r>
          </w:p>
          <w:p w14:paraId="0C32CEF5" w14:textId="77777777" w:rsidR="009E3815" w:rsidRPr="009E3815" w:rsidRDefault="009E3815" w:rsidP="009E3815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 w:left="240" w:hangingChars="100" w:hanging="240"/>
              <w:jc w:val="both"/>
              <w:rPr>
                <w:rFonts w:ascii="Times New Roman" w:eastAsia="標楷體" w:hAnsi="Times New Roman"/>
                <w:szCs w:val="24"/>
              </w:rPr>
            </w:pPr>
            <w:r w:rsidRPr="00CD14AF">
              <w:rPr>
                <w:rFonts w:ascii="Times New Roman" w:eastAsia="標楷體" w:hAnsi="Times New Roman"/>
                <w:szCs w:val="24"/>
              </w:rPr>
              <w:t>黃嘌呤氧化酶</w:t>
            </w:r>
            <w:r>
              <w:rPr>
                <w:rFonts w:ascii="Times New Roman" w:eastAsia="標楷體" w:hAnsi="Times New Roman" w:hint="eastAsia"/>
                <w:szCs w:val="24"/>
              </w:rPr>
              <w:t>抑制劑藥品包含</w:t>
            </w:r>
            <w:r w:rsidRPr="007826A9">
              <w:rPr>
                <w:rFonts w:ascii="Times New Roman" w:eastAsia="標楷體" w:hAnsi="Times New Roman"/>
                <w:szCs w:val="24"/>
              </w:rPr>
              <w:t>allopurinol</w:t>
            </w:r>
            <w:r>
              <w:rPr>
                <w:rFonts w:ascii="Times New Roman" w:eastAsia="標楷體" w:hAnsi="Times New Roman" w:hint="eastAsia"/>
                <w:szCs w:val="24"/>
              </w:rPr>
              <w:t>和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febuxostat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，其中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febuxostat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之抑制作用</w:t>
            </w:r>
            <w:r w:rsidRPr="00AD0385">
              <w:rPr>
                <w:rFonts w:ascii="Times New Roman" w:eastAsia="標楷體" w:hAnsi="Times New Roman" w:hint="eastAsia"/>
                <w:szCs w:val="24"/>
              </w:rPr>
              <w:t>相較於</w:t>
            </w:r>
            <w:r w:rsidRPr="00AD0385">
              <w:rPr>
                <w:rFonts w:ascii="Times New Roman" w:eastAsia="標楷體" w:hAnsi="Times New Roman"/>
                <w:szCs w:val="24"/>
              </w:rPr>
              <w:t>allopurinol</w:t>
            </w:r>
            <w:r w:rsidRPr="00AD0385">
              <w:rPr>
                <w:rFonts w:ascii="Times New Roman" w:eastAsia="標楷體" w:hAnsi="Times New Roman" w:hint="eastAsia"/>
                <w:szCs w:val="24"/>
              </w:rPr>
              <w:t>具有</w:t>
            </w:r>
            <w:r w:rsidRPr="00AD0385">
              <w:rPr>
                <w:rFonts w:ascii="Times New Roman" w:eastAsia="標楷體" w:hAnsi="Times New Roman"/>
                <w:szCs w:val="24"/>
              </w:rPr>
              <w:t>更高</w:t>
            </w:r>
            <w:r>
              <w:rPr>
                <w:rFonts w:ascii="Times New Roman" w:eastAsia="標楷體" w:hAnsi="Times New Roman" w:hint="eastAsia"/>
                <w:szCs w:val="24"/>
              </w:rPr>
              <w:t>的</w:t>
            </w:r>
            <w:r w:rsidRPr="00AD0385">
              <w:rPr>
                <w:rFonts w:ascii="Times New Roman" w:eastAsia="標楷體" w:hAnsi="Times New Roman" w:hint="eastAsia"/>
                <w:szCs w:val="24"/>
              </w:rPr>
              <w:t>專</w:t>
            </w:r>
            <w:r w:rsidRPr="00AD0385">
              <w:rPr>
                <w:rFonts w:ascii="Times New Roman" w:eastAsia="標楷體" w:hAnsi="Times New Roman"/>
                <w:szCs w:val="24"/>
              </w:rPr>
              <w:t>一性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國內已</w:t>
            </w:r>
            <w:r w:rsidRPr="00AD03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接獲數例疑似因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azathioprine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或</w:t>
            </w:r>
            <w:r w:rsidRPr="00AD0385">
              <w:rPr>
                <w:rFonts w:ascii="Times New Roman" w:eastAsia="標楷體" w:hAnsi="Times New Roman"/>
                <w:color w:val="000000" w:themeColor="text1"/>
                <w:szCs w:val="24"/>
              </w:rPr>
              <w:t>6-MP</w:t>
            </w:r>
            <w:proofErr w:type="gramStart"/>
            <w:r w:rsidRPr="00AD0385">
              <w:rPr>
                <w:rFonts w:ascii="Times New Roman" w:eastAsia="標楷體" w:hAnsi="Times New Roman"/>
                <w:color w:val="000000" w:themeColor="text1"/>
                <w:szCs w:val="24"/>
              </w:rPr>
              <w:t>併</w:t>
            </w:r>
            <w:proofErr w:type="gramEnd"/>
            <w:r w:rsidRPr="00AD0385">
              <w:rPr>
                <w:rFonts w:ascii="Times New Roman" w:eastAsia="標楷體" w:hAnsi="Times New Roman"/>
                <w:color w:val="000000" w:themeColor="text1"/>
                <w:szCs w:val="24"/>
              </w:rPr>
              <w:t>用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febuxostat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發生交互作用而導致嚴重血液學相關不良反應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AD0385">
              <w:rPr>
                <w:rFonts w:ascii="Times New Roman" w:eastAsia="標楷體" w:hAnsi="Times New Roman"/>
                <w:szCs w:val="24"/>
              </w:rPr>
              <w:t>如</w:t>
            </w:r>
            <w:r>
              <w:rPr>
                <w:rFonts w:ascii="Times New Roman" w:eastAsia="標楷體" w:hAnsi="Times New Roman" w:hint="eastAsia"/>
                <w:szCs w:val="24"/>
              </w:rPr>
              <w:t>：</w:t>
            </w:r>
            <w:r w:rsidRPr="00AD0385">
              <w:rPr>
                <w:rFonts w:ascii="Times New Roman" w:eastAsia="標楷體" w:hAnsi="Times New Roman"/>
                <w:szCs w:val="24"/>
              </w:rPr>
              <w:t>全血球低下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AD0385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之通報案例，</w:t>
            </w:r>
            <w:r w:rsidRPr="00AD03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其中包含死亡案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</w:t>
            </w:r>
            <w:r w:rsidRPr="00AD03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6AEC9E28" w14:textId="5C0A85E4" w:rsidR="009E3815" w:rsidRDefault="009E3815" w:rsidP="004C3C3A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 w:left="240" w:hangingChars="100" w:hanging="240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9E3815">
              <w:rPr>
                <w:rFonts w:ascii="Times New Roman" w:eastAsia="標楷體" w:hAnsi="Times New Roman" w:hint="eastAsia"/>
                <w:szCs w:val="24"/>
              </w:rPr>
              <w:t>依據大鼠的</w:t>
            </w:r>
            <w:proofErr w:type="gramEnd"/>
            <w:r w:rsidRPr="009E3815">
              <w:rPr>
                <w:rFonts w:ascii="Times New Roman" w:eastAsia="標楷體" w:hAnsi="Times New Roman" w:hint="eastAsia"/>
                <w:szCs w:val="24"/>
              </w:rPr>
              <w:t>藥物動力學模型與模擬數據顯示，口服</w:t>
            </w:r>
            <w:proofErr w:type="gramStart"/>
            <w:r w:rsidRPr="009E3815">
              <w:rPr>
                <w:rFonts w:ascii="Times New Roman" w:eastAsia="標楷體" w:hAnsi="Times New Roman" w:hint="eastAsia"/>
                <w:szCs w:val="24"/>
              </w:rPr>
              <w:t>併</w:t>
            </w:r>
            <w:proofErr w:type="gramEnd"/>
            <w:r w:rsidRPr="009E3815">
              <w:rPr>
                <w:rFonts w:ascii="Times New Roman" w:eastAsia="標楷體" w:hAnsi="Times New Roman" w:hint="eastAsia"/>
                <w:szCs w:val="24"/>
              </w:rPr>
              <w:t>用</w:t>
            </w:r>
            <w:r w:rsidRPr="009E3815">
              <w:rPr>
                <w:rFonts w:ascii="Times New Roman" w:eastAsia="標楷體" w:hAnsi="Times New Roman" w:hint="eastAsia"/>
                <w:szCs w:val="24"/>
              </w:rPr>
              <w:t>febuxostat</w:t>
            </w:r>
            <w:r w:rsidRPr="009E3815">
              <w:rPr>
                <w:rFonts w:ascii="Times New Roman" w:eastAsia="標楷體" w:hAnsi="Times New Roman" w:hint="eastAsia"/>
                <w:szCs w:val="24"/>
              </w:rPr>
              <w:t>和</w:t>
            </w:r>
            <w:r w:rsidRPr="009E3815">
              <w:rPr>
                <w:rFonts w:ascii="Times New Roman" w:eastAsia="標楷體" w:hAnsi="Times New Roman" w:hint="eastAsia"/>
                <w:szCs w:val="24"/>
              </w:rPr>
              <w:t>azathioprine/</w:t>
            </w:r>
            <w:r w:rsidRPr="009E3815">
              <w:rPr>
                <w:rFonts w:ascii="Times New Roman" w:eastAsia="標楷體"/>
                <w:bCs/>
                <w:kern w:val="36"/>
                <w:lang w:bidi="hi-IN"/>
              </w:rPr>
              <w:t>mercaptopurine</w:t>
            </w:r>
            <w:r w:rsidRPr="009E3815">
              <w:rPr>
                <w:rFonts w:ascii="Times New Roman" w:eastAsia="標楷體" w:hAnsi="Times New Roman" w:hint="eastAsia"/>
                <w:szCs w:val="24"/>
              </w:rPr>
              <w:t>可能導致預期群體藥品清除率</w:t>
            </w:r>
            <w:r w:rsidRPr="009E3815">
              <w:rPr>
                <w:rFonts w:ascii="Times New Roman" w:eastAsia="標楷體" w:hAnsi="Times New Roman" w:hint="eastAsia"/>
                <w:szCs w:val="24"/>
              </w:rPr>
              <w:t>(predicted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Pr="00BC7D57">
              <w:rPr>
                <w:rFonts w:ascii="Times New Roman" w:eastAsia="標楷體" w:hAnsi="Times New Roman" w:hint="eastAsia"/>
                <w:szCs w:val="24"/>
              </w:rPr>
              <w:t>population clearance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  <w:r w:rsidRPr="00BC7D57">
              <w:rPr>
                <w:rFonts w:ascii="Times New Roman" w:eastAsia="標楷體" w:hAnsi="Times New Roman" w:hint="eastAsia"/>
                <w:szCs w:val="24"/>
              </w:rPr>
              <w:t>降低約</w:t>
            </w:r>
            <w:r w:rsidRPr="00BC7D57">
              <w:rPr>
                <w:rFonts w:ascii="Times New Roman" w:eastAsia="標楷體" w:hAnsi="Times New Roman" w:hint="eastAsia"/>
                <w:szCs w:val="24"/>
              </w:rPr>
              <w:t>80%</w:t>
            </w:r>
            <w:r w:rsidRPr="00BC7D57">
              <w:rPr>
                <w:rFonts w:ascii="Times New Roman" w:eastAsia="標楷體" w:hAnsi="Times New Roman" w:hint="eastAsia"/>
                <w:szCs w:val="24"/>
              </w:rPr>
              <w:t>；健康受試者臨床藥物交互作用研究</w:t>
            </w:r>
            <w:r>
              <w:rPr>
                <w:rFonts w:ascii="Times New Roman" w:eastAsia="標楷體" w:hAnsi="Times New Roman" w:hint="eastAsia"/>
                <w:szCs w:val="24"/>
              </w:rPr>
              <w:t>則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顯示</w:t>
            </w:r>
            <w:proofErr w:type="gramStart"/>
            <w:r w:rsidRPr="00820CE0">
              <w:rPr>
                <w:rFonts w:ascii="Times New Roman" w:eastAsia="標楷體" w:hAnsi="Times New Roman" w:hint="eastAsia"/>
                <w:szCs w:val="24"/>
              </w:rPr>
              <w:t>併</w:t>
            </w:r>
            <w:proofErr w:type="gramEnd"/>
            <w:r w:rsidRPr="00820CE0">
              <w:rPr>
                <w:rFonts w:ascii="Times New Roman" w:eastAsia="標楷體" w:hAnsi="Times New Roman" w:hint="eastAsia"/>
                <w:szCs w:val="24"/>
              </w:rPr>
              <w:t>用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febuxostat</w:t>
            </w:r>
            <w:r w:rsidR="004C3C3A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40</w:t>
            </w:r>
            <w:r>
              <w:rPr>
                <w:rFonts w:ascii="Times New Roman" w:eastAsia="標楷體" w:hAnsi="Times New Roman"/>
                <w:szCs w:val="24"/>
              </w:rPr>
              <w:t>m</w:t>
            </w:r>
            <w:r w:rsidR="004C3C3A">
              <w:rPr>
                <w:rFonts w:ascii="Times New Roman" w:eastAsia="標楷體" w:hAnsi="Times New Roman"/>
                <w:szCs w:val="24"/>
              </w:rPr>
              <w:t>g</w:t>
            </w:r>
            <w:r>
              <w:rPr>
                <w:rFonts w:ascii="Times New Roman" w:eastAsia="標楷體" w:hAnsi="Times New Roman" w:hint="eastAsia"/>
                <w:szCs w:val="24"/>
              </w:rPr>
              <w:t>或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120mg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和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azathioprine 25 mg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時，</w:t>
            </w:r>
            <w:r w:rsidRPr="00E12B62">
              <w:rPr>
                <w:rFonts w:ascii="Times New Roman" w:eastAsia="標楷體"/>
                <w:bCs/>
                <w:kern w:val="36"/>
                <w:lang w:bidi="hi-IN"/>
              </w:rPr>
              <w:t>mercaptopurine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的</w:t>
            </w:r>
            <w:proofErr w:type="spellStart"/>
            <w:r w:rsidRPr="00820CE0">
              <w:rPr>
                <w:rFonts w:ascii="Times New Roman" w:eastAsia="標楷體" w:hAnsi="Times New Roman" w:hint="eastAsia"/>
                <w:szCs w:val="24"/>
              </w:rPr>
              <w:t>Cmax</w:t>
            </w:r>
            <w:proofErr w:type="spellEnd"/>
            <w:r w:rsidRPr="00820CE0">
              <w:rPr>
                <w:rFonts w:ascii="Times New Roman" w:eastAsia="標楷體" w:hAnsi="Times New Roman" w:hint="eastAsia"/>
                <w:szCs w:val="24"/>
              </w:rPr>
              <w:t>和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AUC</w:t>
            </w:r>
            <w:r w:rsidR="004C3C3A">
              <w:rPr>
                <w:rFonts w:ascii="Times New Roman" w:eastAsia="標楷體" w:hAnsi="Times New Roman"/>
                <w:szCs w:val="24"/>
              </w:rPr>
              <w:t xml:space="preserve"> 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(0-t)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皆高於單獨使用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azathioprine 100 mg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約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1.5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倍，且不論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febuxostat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劑量為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40 mg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或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120 mg</w:t>
            </w:r>
            <w:r w:rsidRPr="00820CE0">
              <w:rPr>
                <w:rFonts w:ascii="Times New Roman" w:eastAsia="標楷體" w:hAnsi="Times New Roman" w:hint="eastAsia"/>
                <w:szCs w:val="24"/>
              </w:rPr>
              <w:t>，此交互作用程度基本上相同。</w:t>
            </w:r>
          </w:p>
          <w:p w14:paraId="2C740065" w14:textId="50B61E7A" w:rsidR="009E3815" w:rsidRPr="009E3815" w:rsidRDefault="009E3815" w:rsidP="004C3C3A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 w:left="240" w:hangingChars="100" w:hanging="240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由於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嚴重交互作用風險，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azathioprine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或</w:t>
            </w:r>
            <w:r w:rsidRPr="00E12B62">
              <w:rPr>
                <w:rFonts w:ascii="Times New Roman" w:eastAsia="標楷體"/>
                <w:bCs/>
                <w:kern w:val="36"/>
                <w:lang w:bidi="hi-IN"/>
              </w:rPr>
              <w:t>mercaptopurine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禁止</w:t>
            </w:r>
            <w:r w:rsidRPr="00CD14AF">
              <w:rPr>
                <w:rFonts w:ascii="Times New Roman" w:eastAsia="標楷體" w:hAnsi="Times New Roman"/>
                <w:color w:val="000000" w:themeColor="text1"/>
                <w:szCs w:val="24"/>
              </w:rPr>
              <w:t>與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febuxostat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同時</w:t>
            </w:r>
            <w:proofErr w:type="gramStart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併</w:t>
            </w:r>
            <w:proofErr w:type="gramEnd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用。</w:t>
            </w:r>
          </w:p>
        </w:tc>
      </w:tr>
      <w:tr w:rsidR="009E3815" w:rsidRPr="00136184" w14:paraId="1EFB2969" w14:textId="77777777" w:rsidTr="004C3C3A">
        <w:trPr>
          <w:trHeight w:val="6934"/>
          <w:jc w:val="center"/>
        </w:trPr>
        <w:tc>
          <w:tcPr>
            <w:tcW w:w="2127" w:type="dxa"/>
            <w:vAlign w:val="center"/>
          </w:tcPr>
          <w:p w14:paraId="093918F9" w14:textId="77777777" w:rsidR="004C3C3A" w:rsidRPr="004C3C3A" w:rsidRDefault="004C3C3A" w:rsidP="004C3C3A">
            <w:pPr>
              <w:jc w:val="center"/>
              <w:rPr>
                <w:rFonts w:ascii="Times New Roman" w:eastAsia="標楷體" w:hAnsi="標楷體" w:hint="eastAsia"/>
              </w:rPr>
            </w:pPr>
            <w:r w:rsidRPr="004C3C3A">
              <w:rPr>
                <w:rFonts w:ascii="Times New Roman" w:eastAsia="標楷體" w:hAnsi="標楷體" w:hint="eastAsia"/>
              </w:rPr>
              <w:t>食品藥物管理署</w:t>
            </w:r>
          </w:p>
          <w:p w14:paraId="61757B0B" w14:textId="6E7FC898" w:rsidR="009E3815" w:rsidRPr="00B57AEE" w:rsidRDefault="004C3C3A" w:rsidP="004C3C3A">
            <w:pPr>
              <w:jc w:val="center"/>
              <w:rPr>
                <w:rFonts w:ascii="Times New Roman" w:eastAsia="標楷體" w:hAnsi="標楷體" w:hint="eastAsia"/>
              </w:rPr>
            </w:pPr>
            <w:r w:rsidRPr="004C3C3A"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602" w:type="dxa"/>
          </w:tcPr>
          <w:p w14:paraId="37530D7E" w14:textId="77777777" w:rsidR="009E3815" w:rsidRPr="00CD14AF" w:rsidRDefault="009E3815" w:rsidP="009E3815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CD14AF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CD14AF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u w:val="single"/>
              </w:rPr>
              <w:t>食品藥物管理署說明</w:t>
            </w:r>
            <w:r w:rsidRPr="00CD14AF">
              <w:rPr>
                <w:rFonts w:ascii="Times New Roman" w:eastAsia="標楷體" w:hAnsi="Times New Roman" w:cs="Times New Roman"/>
                <w:b/>
                <w:color w:val="000000"/>
              </w:rPr>
              <w:t>：</w:t>
            </w:r>
          </w:p>
          <w:p w14:paraId="08397D02" w14:textId="77777777" w:rsidR="009E3815" w:rsidRPr="00E12B62" w:rsidRDefault="009E3815" w:rsidP="009E3815">
            <w:pPr>
              <w:pStyle w:val="Web"/>
              <w:numPr>
                <w:ilvl w:val="0"/>
                <w:numId w:val="42"/>
              </w:numPr>
              <w:spacing w:before="0" w:beforeAutospacing="0" w:after="0" w:afterAutospacing="0" w:line="400" w:lineRule="exact"/>
              <w:ind w:left="240" w:hangingChars="100" w:hanging="240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考量國內曾接獲</w:t>
            </w:r>
            <w:r w:rsidRPr="00E12B62">
              <w:rPr>
                <w:rFonts w:ascii="Times New Roman" w:eastAsia="標楷體" w:hAnsi="Times New Roman"/>
              </w:rPr>
              <w:t>數例疑似因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azathioprine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或</w:t>
            </w:r>
            <w:r w:rsidRPr="00E12B62">
              <w:rPr>
                <w:rFonts w:ascii="Times New Roman" w:eastAsia="標楷體"/>
                <w:bCs/>
                <w:kern w:val="36"/>
                <w:lang w:bidi="hi-IN"/>
              </w:rPr>
              <w:t>mercaptopurine</w:t>
            </w:r>
            <w:r w:rsidRPr="00E12B62">
              <w:rPr>
                <w:rFonts w:ascii="Times New Roman" w:eastAsia="標楷體" w:hAnsi="Times New Roman"/>
              </w:rPr>
              <w:t>與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febuxostat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合併使用發生交互作用而導致嚴重不良反應之通報案例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(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包含死亡案例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)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，</w:t>
            </w:r>
            <w:proofErr w:type="gramStart"/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經本署彙</w:t>
            </w:r>
            <w:proofErr w:type="gramEnd"/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整國內、外相關資料進行整體性評估，評估結果為：我國含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azathioprine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或</w:t>
            </w:r>
            <w:r w:rsidRPr="00E12B62">
              <w:rPr>
                <w:rFonts w:ascii="Times New Roman" w:eastAsia="標楷體"/>
                <w:bCs/>
                <w:kern w:val="36"/>
                <w:lang w:bidi="hi-IN"/>
              </w:rPr>
              <w:t>mercaptopurine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成分藥品中文仿單應</w:t>
            </w:r>
            <w:r w:rsidRPr="00CB0ED8">
              <w:rPr>
                <w:rFonts w:ascii="Times New Roman" w:eastAsia="標楷體" w:hint="eastAsia"/>
                <w:bCs/>
                <w:kern w:val="36"/>
                <w:lang w:bidi="hi-IN"/>
              </w:rPr>
              <w:t>於「禁忌」</w:t>
            </w:r>
            <w:proofErr w:type="gramStart"/>
            <w:r w:rsidRPr="00CB0ED8">
              <w:rPr>
                <w:rFonts w:ascii="Times New Roman" w:eastAsia="標楷體" w:hint="eastAsia"/>
                <w:bCs/>
                <w:kern w:val="36"/>
                <w:lang w:bidi="hi-IN"/>
              </w:rPr>
              <w:t>處加刊</w:t>
            </w:r>
            <w:proofErr w:type="gramEnd"/>
            <w:r w:rsidRPr="00CB0ED8">
              <w:rPr>
                <w:rFonts w:ascii="Times New Roman" w:eastAsia="標楷體" w:hint="eastAsia"/>
                <w:bCs/>
                <w:kern w:val="36"/>
                <w:lang w:bidi="hi-IN"/>
              </w:rPr>
              <w:t>「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正在使用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azathioprine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或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mercaptopurine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的病人禁用</w:t>
            </w:r>
            <w:r w:rsidRPr="002547FF">
              <w:rPr>
                <w:rFonts w:ascii="Times New Roman" w:eastAsia="標楷體" w:hint="eastAsia"/>
                <w:bCs/>
                <w:kern w:val="36"/>
                <w:lang w:bidi="hi-IN"/>
              </w:rPr>
              <w:t>febuxostat</w:t>
            </w:r>
            <w:r w:rsidRPr="00CB0ED8">
              <w:rPr>
                <w:rFonts w:ascii="Times New Roman" w:eastAsia="標楷體" w:hint="eastAsia"/>
                <w:bCs/>
                <w:kern w:val="36"/>
                <w:lang w:bidi="hi-IN"/>
              </w:rPr>
              <w:t>」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，並於「警語及注意事項」處</w:t>
            </w:r>
            <w:proofErr w:type="gramStart"/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加刊與</w:t>
            </w:r>
            <w:proofErr w:type="gramEnd"/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黃嘌呤氧化酶抑制劑併用之交互作用風險，以及於「交互作用」處增修</w:t>
            </w:r>
            <w:r>
              <w:rPr>
                <w:rFonts w:ascii="Times New Roman" w:eastAsia="標楷體" w:hint="eastAsia"/>
                <w:bCs/>
                <w:kern w:val="36"/>
                <w:lang w:bidi="hi-IN"/>
              </w:rPr>
              <w:t>與</w:t>
            </w:r>
            <w:r w:rsidRPr="00C8511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febuxostat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併用之藥物動力學及臨床藥物交互作用研究相關安全性資訊；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febuxostat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成分藥品中文仿單應於「警語及注意事項」處</w:t>
            </w:r>
            <w:proofErr w:type="gramStart"/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加刊與</w:t>
            </w:r>
            <w:proofErr w:type="gramEnd"/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黃嘌呤氧化酶受質藥物之交互作用風險，並於「交互作用」處增修與黃嘌呤氧化酶</w:t>
            </w:r>
            <w:r>
              <w:rPr>
                <w:rFonts w:ascii="Times New Roman" w:eastAsia="標楷體" w:hint="eastAsia"/>
                <w:bCs/>
                <w:kern w:val="36"/>
                <w:lang w:bidi="hi-IN"/>
              </w:rPr>
              <w:t>受質藥品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併用之藥物動力學及臨床藥物交互作用研究相關安全性資訊，以及於「臨床藥理學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-</w:t>
            </w:r>
            <w:r w:rsidRPr="00E12B62">
              <w:rPr>
                <w:rFonts w:ascii="Times New Roman" w:eastAsia="標楷體" w:hint="eastAsia"/>
                <w:bCs/>
                <w:kern w:val="36"/>
                <w:lang w:bidi="hi-IN"/>
              </w:rPr>
              <w:t>藥物交互作用研究」處增修藥物交互作用研究相關安全性資訊。</w:t>
            </w:r>
          </w:p>
          <w:p w14:paraId="207D6E3A" w14:textId="77777777" w:rsidR="009E3815" w:rsidRPr="00E12B62" w:rsidRDefault="009E3815" w:rsidP="009E3815">
            <w:pPr>
              <w:pStyle w:val="Web"/>
              <w:numPr>
                <w:ilvl w:val="0"/>
                <w:numId w:val="42"/>
              </w:numPr>
              <w:spacing w:before="0" w:beforeAutospacing="0" w:after="0" w:afterAutospacing="0" w:line="400" w:lineRule="exact"/>
              <w:ind w:left="240" w:hangingChars="100" w:hanging="240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為保障民眾用藥安全，</w:t>
            </w:r>
            <w:proofErr w:type="gramStart"/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本署已</w:t>
            </w:r>
            <w:proofErr w:type="gramEnd"/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要求我國含</w:t>
            </w:r>
            <w:r w:rsidRPr="00E12B62">
              <w:rPr>
                <w:rFonts w:ascii="Times New Roman" w:eastAsia="標楷體" w:hAnsi="Times New Roman"/>
                <w:bCs/>
                <w:kern w:val="36"/>
                <w:lang w:bidi="hi-IN"/>
              </w:rPr>
              <w:t>a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zathioprine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mercaptopurine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與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febuxostat</w:t>
            </w:r>
            <w:r w:rsidRPr="00E12B6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成分藥品許可證持有商辦理中文仿單變更，並發布此風險溝通表以提醒醫療人員注意相關風險。</w:t>
            </w:r>
          </w:p>
          <w:p w14:paraId="06FA58E7" w14:textId="7C5ADD07" w:rsidR="009E3815" w:rsidRDefault="009E3815" w:rsidP="009E3815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rPr>
                <w:rFonts w:ascii="新細明體" w:eastAsia="新細明體" w:hAnsi="新細明體" w:cs="新細明體"/>
                <w:bCs/>
                <w:color w:val="000000"/>
              </w:rPr>
            </w:pPr>
          </w:p>
          <w:p w14:paraId="44DE4F74" w14:textId="1F9ADD00" w:rsidR="004C3C3A" w:rsidRDefault="004C3C3A" w:rsidP="009E3815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rPr>
                <w:rFonts w:ascii="新細明體" w:eastAsia="新細明體" w:hAnsi="新細明體" w:cs="新細明體"/>
                <w:bCs/>
                <w:color w:val="000000"/>
              </w:rPr>
            </w:pPr>
          </w:p>
          <w:p w14:paraId="131D03E6" w14:textId="77777777" w:rsidR="004C3C3A" w:rsidRPr="00BC0668" w:rsidRDefault="004C3C3A" w:rsidP="009E3815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rPr>
                <w:rFonts w:ascii="新細明體" w:eastAsia="新細明體" w:hAnsi="新細明體" w:cs="新細明體" w:hint="eastAsia"/>
                <w:bCs/>
                <w:color w:val="000000"/>
              </w:rPr>
            </w:pPr>
          </w:p>
          <w:p w14:paraId="4D314160" w14:textId="77777777" w:rsidR="009E3815" w:rsidRPr="00CD14AF" w:rsidRDefault="009E3815" w:rsidP="004C3C3A">
            <w:pPr>
              <w:pStyle w:val="Web"/>
              <w:spacing w:before="0" w:beforeAutospacing="0" w:after="0" w:afterAutospacing="0" w:line="380" w:lineRule="exact"/>
              <w:ind w:left="240" w:hangingChars="100" w:hanging="240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CD14AF">
              <w:rPr>
                <w:rFonts w:ascii="新細明體" w:eastAsia="新細明體" w:hAnsi="新細明體" w:cs="新細明體" w:hint="eastAsia"/>
                <w:bCs/>
                <w:color w:val="000000"/>
              </w:rPr>
              <w:lastRenderedPageBreak/>
              <w:t>◎</w:t>
            </w:r>
            <w:r w:rsidRPr="00CD14AF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BC0668">
              <w:rPr>
                <w:rFonts w:ascii="Times New Roman" w:eastAsia="標楷體" w:hAnsi="Times New Roman" w:cs="Times New Roman"/>
                <w:b/>
                <w:bCs/>
                <w:color w:val="000000"/>
                <w:u w:val="thick"/>
              </w:rPr>
              <w:t>醫療人員</w:t>
            </w:r>
            <w:r w:rsidRPr="00CD14AF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14:paraId="75A5E733" w14:textId="77777777" w:rsidR="009E3815" w:rsidRPr="00837D9F" w:rsidRDefault="009E3815" w:rsidP="004C3C3A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當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azathioprine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6-MP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與</w:t>
            </w:r>
            <w:r w:rsidRPr="00CD14AF">
              <w:rPr>
                <w:rFonts w:ascii="Times New Roman" w:eastAsia="標楷體" w:hAnsi="Times New Roman" w:cs="Times New Roman"/>
              </w:rPr>
              <w:t>黃嘌呤氧化酶抑制劑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CD14AF">
              <w:rPr>
                <w:rFonts w:ascii="Times New Roman" w:eastAsia="標楷體" w:hAnsi="Times New Roman" w:cs="Times New Roman"/>
              </w:rPr>
              <w:t>如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Pr="00837D9F">
              <w:rPr>
                <w:rFonts w:ascii="Times New Roman" w:eastAsia="標楷體" w:hAnsi="Times New Roman" w:cs="Times New Roman"/>
              </w:rPr>
              <w:t>allopurinol</w:t>
            </w:r>
            <w:r w:rsidRPr="00837D9F">
              <w:rPr>
                <w:rFonts w:ascii="Times New Roman" w:eastAsia="標楷體" w:hAnsi="Times New Roman" w:cs="Times New Roman"/>
              </w:rPr>
              <w:t>和</w:t>
            </w:r>
            <w:r w:rsidRPr="00837D9F">
              <w:rPr>
                <w:rFonts w:ascii="Times New Roman" w:eastAsia="標楷體" w:hAnsi="Times New Roman" w:cs="Times New Roman"/>
              </w:rPr>
              <w:t>febuxostat)</w:t>
            </w:r>
            <w:proofErr w:type="gramStart"/>
            <w:r w:rsidRPr="00837D9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併</w:t>
            </w:r>
            <w:proofErr w:type="gramEnd"/>
            <w:r w:rsidRPr="00837D9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用時，</w:t>
            </w:r>
            <w:r w:rsidRPr="00837D9F">
              <w:rPr>
                <w:rFonts w:ascii="Times New Roman" w:eastAsia="標楷體" w:hAnsi="Times New Roman"/>
              </w:rPr>
              <w:t>可能導致</w:t>
            </w:r>
            <w:r w:rsidRPr="00837D9F">
              <w:rPr>
                <w:rFonts w:ascii="Times New Roman" w:eastAsia="標楷體" w:hAnsi="Times New Roman"/>
              </w:rPr>
              <w:t>azathioprine</w:t>
            </w:r>
            <w:r w:rsidRPr="00837D9F">
              <w:rPr>
                <w:rFonts w:ascii="Times New Roman" w:eastAsia="標楷體" w:hAnsi="Times New Roman"/>
              </w:rPr>
              <w:t>代謝物</w:t>
            </w:r>
            <w:r w:rsidRPr="00837D9F">
              <w:rPr>
                <w:rFonts w:ascii="Times New Roman" w:eastAsia="標楷體" w:hAnsi="Times New Roman"/>
              </w:rPr>
              <w:t>6-MP</w:t>
            </w:r>
            <w:r w:rsidRPr="00837D9F">
              <w:rPr>
                <w:rFonts w:ascii="Times New Roman" w:eastAsia="標楷體" w:hAnsi="Times New Roman"/>
              </w:rPr>
              <w:t>的血中濃度</w:t>
            </w:r>
            <w:r w:rsidRPr="00837D9F">
              <w:rPr>
                <w:rFonts w:ascii="Times New Roman" w:eastAsia="標楷體" w:hAnsi="Times New Roman" w:hint="eastAsia"/>
              </w:rPr>
              <w:t>顯著</w:t>
            </w:r>
            <w:r w:rsidRPr="00837D9F">
              <w:rPr>
                <w:rFonts w:ascii="Times New Roman" w:eastAsia="標楷體" w:hAnsi="Times New Roman"/>
              </w:rPr>
              <w:t>增加而</w:t>
            </w:r>
            <w:r w:rsidRPr="00837D9F">
              <w:rPr>
                <w:rFonts w:ascii="Times New Roman" w:eastAsia="標楷體" w:hAnsi="Times New Roman" w:cs="Times New Roman" w:hint="eastAsia"/>
              </w:rPr>
              <w:t>造成嚴重並可能危及生命之不良反應</w:t>
            </w:r>
            <w:r w:rsidRPr="00837D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。</w:t>
            </w:r>
            <w:r w:rsidRPr="00837D9F">
              <w:rPr>
                <w:rFonts w:ascii="Times New Roman" w:eastAsia="標楷體" w:hAnsi="Times New Roman" w:cs="Times New Roman" w:hint="eastAsia"/>
                <w:kern w:val="2"/>
              </w:rPr>
              <w:t>處方前述藥品前</w:t>
            </w:r>
            <w:r w:rsidRPr="00837D9F">
              <w:rPr>
                <w:rFonts w:ascii="Times New Roman" w:eastAsia="標楷體" w:hAnsi="Times New Roman" w:cs="Times New Roman" w:hint="eastAsia"/>
              </w:rPr>
              <w:t>，應先確認病人的用藥以避免嚴重藥品交互作用風險；並應審慎衡量病人用藥的風險效益。</w:t>
            </w:r>
          </w:p>
          <w:p w14:paraId="78A37BDF" w14:textId="77777777" w:rsidR="009E3815" w:rsidRPr="005148DD" w:rsidRDefault="009E3815" w:rsidP="004C3C3A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由於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嚴重交互作用風險，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azathioprine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6-MP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禁止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與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febuxostat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同時</w:t>
            </w:r>
            <w:proofErr w:type="gramStart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併</w:t>
            </w:r>
            <w:proofErr w:type="gramEnd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用。</w:t>
            </w:r>
          </w:p>
          <w:p w14:paraId="32D40D07" w14:textId="77777777" w:rsidR="009E3815" w:rsidRPr="00AD0385" w:rsidRDefault="009E3815" w:rsidP="004C3C3A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Azathioprine</w:t>
            </w:r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AD0385">
              <w:rPr>
                <w:rFonts w:ascii="Times New Roman" w:eastAsia="標楷體" w:hAnsi="Times New Roman" w:cs="Times New Roman"/>
                <w:color w:val="000000" w:themeColor="text1"/>
              </w:rPr>
              <w:t>6-MP</w:t>
            </w:r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與</w:t>
            </w:r>
            <w:r w:rsidRPr="00AD0385">
              <w:rPr>
                <w:rFonts w:ascii="Times New Roman" w:eastAsia="標楷體" w:hAnsi="Times New Roman" w:cs="Times New Roman"/>
              </w:rPr>
              <w:t>allopurinol</w:t>
            </w:r>
            <w:r w:rsidRPr="00AD0385">
              <w:rPr>
                <w:rFonts w:ascii="Times New Roman" w:eastAsia="標楷體" w:hAnsi="Times New Roman" w:cs="Times New Roman"/>
                <w:color w:val="000000" w:themeColor="text1"/>
              </w:rPr>
              <w:t>應</w:t>
            </w:r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避免</w:t>
            </w:r>
            <w:proofErr w:type="gramStart"/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併</w:t>
            </w:r>
            <w:proofErr w:type="gramEnd"/>
            <w:r w:rsidRPr="00AD0385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用</w:t>
            </w:r>
            <w:r w:rsidRPr="00AD0385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，倘有</w:t>
            </w:r>
            <w:proofErr w:type="gramStart"/>
            <w:r w:rsidRPr="00AD0385">
              <w:rPr>
                <w:rFonts w:ascii="Times New Roman" w:eastAsia="標楷體" w:hAnsi="Times New Roman" w:cs="Times New Roman"/>
              </w:rPr>
              <w:t>併</w:t>
            </w:r>
            <w:proofErr w:type="gramEnd"/>
            <w:r w:rsidRPr="00AD0385">
              <w:rPr>
                <w:rFonts w:ascii="Times New Roman" w:eastAsia="標楷體" w:hAnsi="Times New Roman" w:cs="Times New Roman"/>
              </w:rPr>
              <w:t>用</w:t>
            </w:r>
            <w:r w:rsidRPr="00AD0385">
              <w:rPr>
                <w:rFonts w:ascii="Times New Roman" w:eastAsia="標楷體" w:hAnsi="Times New Roman" w:cs="Times New Roman" w:hint="eastAsia"/>
              </w:rPr>
              <w:t>之必要時，建議</w:t>
            </w:r>
            <w:r w:rsidRPr="00AD0385">
              <w:rPr>
                <w:rFonts w:ascii="Times New Roman" w:eastAsia="標楷體" w:hAnsi="Times New Roman" w:cs="Times New Roman"/>
              </w:rPr>
              <w:t>調降</w:t>
            </w:r>
            <w:r w:rsidRPr="00AD0385">
              <w:rPr>
                <w:rFonts w:ascii="Times New Roman" w:eastAsia="標楷體" w:hAnsi="Times New Roman" w:cs="Times New Roman"/>
              </w:rPr>
              <w:t>azathioprine</w:t>
            </w:r>
            <w:r w:rsidRPr="00AD0385">
              <w:rPr>
                <w:rFonts w:ascii="Times New Roman" w:eastAsia="標楷體" w:hAnsi="Times New Roman" w:cs="Times New Roman"/>
              </w:rPr>
              <w:t>或</w:t>
            </w:r>
            <w:r w:rsidRPr="00AD0385">
              <w:rPr>
                <w:rFonts w:ascii="Times New Roman" w:eastAsia="標楷體" w:hAnsi="Times New Roman" w:cs="Times New Roman"/>
                <w:color w:val="000000" w:themeColor="text1"/>
              </w:rPr>
              <w:t>6-MP</w:t>
            </w:r>
            <w:r w:rsidRPr="00AD0385">
              <w:rPr>
                <w:rFonts w:ascii="Times New Roman" w:eastAsia="標楷體" w:hAnsi="Times New Roman" w:cs="Times New Roman"/>
              </w:rPr>
              <w:t>至一般劑量的</w:t>
            </w:r>
            <w:r w:rsidRPr="00AD0385">
              <w:rPr>
                <w:rFonts w:ascii="Times New Roman" w:eastAsia="標楷體" w:hAnsi="Times New Roman" w:cs="Times New Roman"/>
              </w:rPr>
              <w:t>1/4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AD0385">
              <w:rPr>
                <w:rFonts w:ascii="Times New Roman" w:eastAsia="標楷體" w:hAnsi="Times New Roman" w:cs="Times New Roman" w:hint="eastAsia"/>
              </w:rPr>
              <w:t>並密切監測病人</w:t>
            </w:r>
            <w:r w:rsidRPr="00AD0385">
              <w:rPr>
                <w:rFonts w:ascii="Times New Roman" w:eastAsia="標楷體" w:hAnsi="Times New Roman" w:cs="Times New Roman"/>
              </w:rPr>
              <w:t>是否出現嚴重不良反應的症狀或徵候</w:t>
            </w:r>
            <w:r w:rsidRPr="00AD0385">
              <w:rPr>
                <w:rFonts w:ascii="Times New Roman" w:eastAsia="標楷體" w:hAnsi="Times New Roman" w:cs="Times New Roman" w:hint="eastAsia"/>
              </w:rPr>
              <w:t>，特別是血液學毒性反應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AD0385">
              <w:rPr>
                <w:rFonts w:ascii="Times New Roman" w:eastAsia="標楷體" w:hAnsi="Times New Roman" w:cs="Times New Roman" w:hint="eastAsia"/>
              </w:rPr>
              <w:t>如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Pr="00AD0385">
              <w:rPr>
                <w:rFonts w:ascii="Times New Roman" w:eastAsia="標楷體" w:hAnsi="Times New Roman" w:cs="Times New Roman" w:hint="eastAsia"/>
              </w:rPr>
              <w:t>骨髓抑制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 w:rsidRPr="00AD0385">
              <w:rPr>
                <w:rFonts w:ascii="Times New Roman" w:eastAsia="標楷體" w:hAnsi="Times New Roman" w:cs="Times New Roman" w:hint="eastAsia"/>
              </w:rPr>
              <w:t>；後續則應視病人的臨床治療反應和不良反應情形進行劑量調整。</w:t>
            </w:r>
            <w:proofErr w:type="gramStart"/>
            <w:r w:rsidRPr="00AD0385">
              <w:rPr>
                <w:rFonts w:ascii="Times New Roman" w:eastAsia="標楷體" w:hAnsi="Times New Roman" w:cs="Times New Roman" w:hint="eastAsia"/>
              </w:rPr>
              <w:t>此外，於</w:t>
            </w:r>
            <w:r w:rsidRPr="00AD0385">
              <w:rPr>
                <w:rFonts w:ascii="Times New Roman" w:eastAsia="標楷體" w:hAnsi="Times New Roman" w:cs="Times New Roman"/>
              </w:rPr>
              <w:t>硫嘌呤</w:t>
            </w:r>
            <w:proofErr w:type="gramEnd"/>
            <w:r w:rsidRPr="00AD0385">
              <w:rPr>
                <w:rFonts w:ascii="Times New Roman" w:eastAsia="標楷體" w:hAnsi="Times New Roman" w:cs="Times New Roman"/>
              </w:rPr>
              <w:t>甲基轉移酶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AD0385">
              <w:rPr>
                <w:rFonts w:ascii="Times New Roman" w:eastAsia="標楷體" w:hAnsi="Times New Roman" w:cs="Times New Roman"/>
              </w:rPr>
              <w:t>thiopurine methyltransferase</w:t>
            </w:r>
            <w:r w:rsidRPr="00AD0385">
              <w:rPr>
                <w:rFonts w:ascii="Times New Roman" w:eastAsia="標楷體" w:hAnsi="Times New Roman" w:cs="Times New Roman" w:hint="eastAsia"/>
              </w:rPr>
              <w:t>,</w:t>
            </w:r>
            <w:r w:rsidRPr="00AD0385">
              <w:rPr>
                <w:rFonts w:ascii="Times New Roman" w:eastAsia="標楷體" w:hAnsi="Times New Roman" w:cs="Times New Roman"/>
              </w:rPr>
              <w:t xml:space="preserve"> TPMT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 w:rsidRPr="00AD0385">
              <w:rPr>
                <w:rFonts w:ascii="Times New Roman" w:eastAsia="標楷體" w:hAnsi="Times New Roman" w:cs="Times New Roman" w:hint="eastAsia"/>
              </w:rPr>
              <w:t>活性低下或缺乏之病人應考慮再進一步降低</w:t>
            </w:r>
            <w:r w:rsidRPr="00AD0385">
              <w:rPr>
                <w:rFonts w:ascii="Times New Roman" w:eastAsia="標楷體" w:hAnsi="Times New Roman" w:cs="Times New Roman" w:hint="eastAsia"/>
              </w:rPr>
              <w:t>a</w:t>
            </w:r>
            <w:r w:rsidRPr="00AD0385">
              <w:rPr>
                <w:rFonts w:ascii="Times New Roman" w:eastAsia="標楷體" w:hAnsi="Times New Roman" w:cs="Times New Roman"/>
              </w:rPr>
              <w:t>zathioprine</w:t>
            </w:r>
            <w:r w:rsidRPr="00AD0385">
              <w:rPr>
                <w:rFonts w:ascii="Times New Roman" w:eastAsia="標楷體" w:hAnsi="Times New Roman" w:cs="Times New Roman"/>
              </w:rPr>
              <w:t>或</w:t>
            </w:r>
            <w:r w:rsidRPr="00AD0385">
              <w:rPr>
                <w:rFonts w:ascii="Times New Roman" w:eastAsia="標楷體" w:hAnsi="Times New Roman" w:cs="Times New Roman"/>
                <w:color w:val="000000" w:themeColor="text1"/>
              </w:rPr>
              <w:t>6-MP</w:t>
            </w:r>
            <w:r w:rsidRPr="00AD0385">
              <w:rPr>
                <w:rFonts w:ascii="Times New Roman" w:eastAsia="標楷體" w:hAnsi="Times New Roman" w:cs="Times New Roman" w:hint="eastAsia"/>
              </w:rPr>
              <w:t>劑量或</w:t>
            </w:r>
            <w:r>
              <w:rPr>
                <w:rFonts w:ascii="Times New Roman" w:eastAsia="標楷體" w:hAnsi="Times New Roman" w:cs="Times New Roman" w:hint="eastAsia"/>
              </w:rPr>
              <w:t>改以</w:t>
            </w:r>
            <w:r w:rsidRPr="00AD0385">
              <w:rPr>
                <w:rFonts w:ascii="Times New Roman" w:eastAsia="標楷體" w:hAnsi="Times New Roman" w:cs="Times New Roman" w:hint="eastAsia"/>
              </w:rPr>
              <w:t>其他</w:t>
            </w:r>
            <w:r>
              <w:rPr>
                <w:rFonts w:ascii="Times New Roman" w:eastAsia="標楷體" w:hAnsi="Times New Roman" w:cs="Times New Roman" w:hint="eastAsia"/>
              </w:rPr>
              <w:t>替代</w:t>
            </w:r>
            <w:r w:rsidRPr="00AD0385">
              <w:rPr>
                <w:rFonts w:ascii="Times New Roman" w:eastAsia="標楷體" w:hAnsi="Times New Roman" w:cs="Times New Roman" w:hint="eastAsia"/>
              </w:rPr>
              <w:t>治療方案。</w:t>
            </w:r>
          </w:p>
          <w:p w14:paraId="0C04987E" w14:textId="77777777" w:rsidR="009E3815" w:rsidRPr="00B72576" w:rsidRDefault="009E3815" w:rsidP="004C3C3A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應告知病人接受</w:t>
            </w:r>
            <w:r w:rsidRPr="00B72576">
              <w:rPr>
                <w:rFonts w:ascii="Times New Roman" w:eastAsia="標楷體" w:hAnsi="Times New Roman" w:cs="Times New Roman" w:hint="eastAsia"/>
              </w:rPr>
              <w:t>azathioprine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6-MP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治療可能發生的嚴重不良反應及潛在的藥品交互作用風險，</w:t>
            </w:r>
            <w:r w:rsidRPr="00C527F6">
              <w:rPr>
                <w:rFonts w:ascii="Times New Roman" w:eastAsia="標楷體" w:hAnsi="Times New Roman" w:cs="Times New Roman"/>
              </w:rPr>
              <w:t>並提醒</w:t>
            </w:r>
            <w:r w:rsidRPr="00C527F6">
              <w:rPr>
                <w:rFonts w:ascii="Times New Roman" w:eastAsia="標楷體" w:hAnsi="Times New Roman" w:cs="Times New Roman"/>
                <w:sz w:val="23"/>
                <w:szCs w:val="23"/>
              </w:rPr>
              <w:t>病人若出現不適症狀應儘速回診</w:t>
            </w:r>
            <w:r w:rsidRPr="00C527F6">
              <w:rPr>
                <w:rFonts w:ascii="Times New Roman" w:eastAsia="標楷體" w:hAnsi="Times New Roman" w:cs="Times New Roman"/>
              </w:rPr>
              <w:t>。</w:t>
            </w:r>
          </w:p>
          <w:p w14:paraId="275AD02C" w14:textId="77777777" w:rsidR="009E3815" w:rsidRDefault="009E3815" w:rsidP="009E3815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</w:p>
          <w:p w14:paraId="61F0FCE0" w14:textId="77777777" w:rsidR="009E3815" w:rsidRPr="00C527F6" w:rsidRDefault="009E3815" w:rsidP="004C3C3A">
            <w:pPr>
              <w:pStyle w:val="Web"/>
              <w:spacing w:before="0" w:beforeAutospacing="0" w:after="0" w:afterAutospacing="0" w:line="38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  <w:r w:rsidRPr="00C527F6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C527F6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BC0668">
              <w:rPr>
                <w:rFonts w:ascii="Times New Roman" w:eastAsia="標楷體" w:hAnsi="Times New Roman" w:cs="Times New Roman"/>
                <w:b/>
                <w:bCs/>
                <w:u w:val="thick"/>
              </w:rPr>
              <w:t>病人</w:t>
            </w:r>
            <w:r w:rsidRPr="00C527F6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C527F6">
              <w:rPr>
                <w:rFonts w:ascii="Times New Roman" w:eastAsia="標楷體" w:hAnsi="Times New Roman" w:cs="Times New Roman"/>
              </w:rPr>
              <w:t>：</w:t>
            </w:r>
          </w:p>
          <w:p w14:paraId="752215DB" w14:textId="77777777" w:rsidR="009E3815" w:rsidRPr="00836809" w:rsidRDefault="009E3815" w:rsidP="004C3C3A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當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azathioprine</w:t>
            </w:r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836809">
              <w:rPr>
                <w:rFonts w:ascii="Times New Roman" w:eastAsia="標楷體" w:hAnsi="Times New Roman"/>
                <w:color w:val="000000" w:themeColor="text1"/>
              </w:rPr>
              <w:t>6-MP</w:t>
            </w:r>
            <w:r w:rsidRPr="00CD14AF">
              <w:rPr>
                <w:rFonts w:ascii="Times New Roman" w:eastAsia="標楷體" w:hAnsi="Times New Roman"/>
                <w:color w:val="000000" w:themeColor="text1"/>
              </w:rPr>
              <w:t>與</w:t>
            </w:r>
            <w:r w:rsidRPr="00CD14AF">
              <w:rPr>
                <w:rFonts w:ascii="Times New Roman" w:eastAsia="標楷體" w:hAnsi="Times New Roman" w:cs="Times New Roman"/>
              </w:rPr>
              <w:t>黃嘌呤氧化酶抑制劑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CD14AF">
              <w:rPr>
                <w:rFonts w:ascii="Times New Roman" w:eastAsia="標楷體" w:hAnsi="Times New Roman" w:cs="Times New Roman"/>
              </w:rPr>
              <w:t>如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Pr="00CD14AF">
              <w:rPr>
                <w:rFonts w:ascii="Times New Roman" w:eastAsia="標楷體" w:hAnsi="Times New Roman" w:cs="Times New Roman"/>
              </w:rPr>
              <w:t>allopurinol</w:t>
            </w:r>
            <w:r w:rsidRPr="00CD14AF">
              <w:rPr>
                <w:rFonts w:ascii="Times New Roman" w:eastAsia="標楷體" w:hAnsi="Times New Roman" w:cs="Times New Roman"/>
              </w:rPr>
              <w:t>和</w:t>
            </w:r>
            <w:r w:rsidRPr="00CD14AF">
              <w:rPr>
                <w:rFonts w:ascii="Times New Roman" w:eastAsia="標楷體" w:hAnsi="Times New Roman" w:cs="Times New Roman"/>
              </w:rPr>
              <w:t>febuxostat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proofErr w:type="gramStart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併</w:t>
            </w:r>
            <w:proofErr w:type="gramEnd"/>
            <w:r w:rsidRPr="00CD14AF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用時，</w:t>
            </w:r>
            <w:r w:rsidRPr="00CD14AF">
              <w:rPr>
                <w:rFonts w:ascii="Times New Roman" w:eastAsia="標楷體" w:hAnsi="Times New Roman"/>
              </w:rPr>
              <w:t>可能導致</w:t>
            </w:r>
            <w:r w:rsidRPr="00CD14AF">
              <w:rPr>
                <w:rFonts w:ascii="Times New Roman" w:eastAsia="標楷體" w:hAnsi="Times New Roman"/>
              </w:rPr>
              <w:t>6-MP</w:t>
            </w:r>
            <w:r w:rsidRPr="00CD14AF">
              <w:rPr>
                <w:rFonts w:ascii="Times New Roman" w:eastAsia="標楷體" w:hAnsi="Times New Roman"/>
              </w:rPr>
              <w:t>的血中濃度</w:t>
            </w:r>
            <w:r>
              <w:rPr>
                <w:rFonts w:ascii="Times New Roman" w:eastAsia="標楷體" w:hAnsi="Times New Roman" w:hint="eastAsia"/>
              </w:rPr>
              <w:t>顯著</w:t>
            </w:r>
            <w:r w:rsidRPr="00CD14AF">
              <w:rPr>
                <w:rFonts w:ascii="Times New Roman" w:eastAsia="標楷體" w:hAnsi="Times New Roman"/>
              </w:rPr>
              <w:t>增加而</w:t>
            </w:r>
            <w:r>
              <w:rPr>
                <w:rFonts w:ascii="Times New Roman" w:eastAsia="標楷體" w:hAnsi="Times New Roman" w:cs="Times New Roman" w:hint="eastAsia"/>
              </w:rPr>
              <w:t>造成嚴重並可能危及生命之不良反應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。</w:t>
            </w:r>
            <w:r w:rsidRPr="0083680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若您正在使用前述藥品，就醫時</w:t>
            </w:r>
            <w:r>
              <w:rPr>
                <w:rFonts w:ascii="Times New Roman" w:eastAsia="標楷體" w:hAnsi="Times New Roman" w:cs="Times New Roman" w:hint="eastAsia"/>
              </w:rPr>
              <w:t>請</w:t>
            </w:r>
            <w:r w:rsidRPr="00836809">
              <w:rPr>
                <w:rFonts w:ascii="Times New Roman" w:eastAsia="標楷體" w:hAnsi="Times New Roman" w:cs="Times New Roman"/>
              </w:rPr>
              <w:t>主動告知醫師</w:t>
            </w:r>
            <w:r>
              <w:rPr>
                <w:rFonts w:ascii="Times New Roman" w:eastAsia="標楷體" w:hAnsi="Times New Roman" w:cs="Times New Roman" w:hint="eastAsia"/>
              </w:rPr>
              <w:t>您</w:t>
            </w:r>
            <w:r w:rsidRPr="00836809">
              <w:rPr>
                <w:rFonts w:ascii="Times New Roman" w:eastAsia="標楷體" w:hAnsi="Times New Roman" w:cs="Times New Roman"/>
              </w:rPr>
              <w:t>正在使用的</w:t>
            </w:r>
            <w:r>
              <w:rPr>
                <w:rFonts w:ascii="Times New Roman" w:eastAsia="標楷體" w:hAnsi="Times New Roman" w:cs="Times New Roman" w:hint="eastAsia"/>
              </w:rPr>
              <w:t>所有</w:t>
            </w:r>
            <w:r w:rsidRPr="00836809">
              <w:rPr>
                <w:rFonts w:ascii="Times New Roman" w:eastAsia="標楷體" w:hAnsi="Times New Roman" w:cs="Times New Roman"/>
              </w:rPr>
              <w:t>藥品。</w:t>
            </w:r>
          </w:p>
          <w:p w14:paraId="37AD75C2" w14:textId="77777777" w:rsidR="009E3815" w:rsidRPr="00836809" w:rsidRDefault="009E3815" w:rsidP="004C3C3A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使用</w:t>
            </w:r>
            <w:r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</w:t>
            </w:r>
            <w:r w:rsidRPr="00836809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zathioprine</w:t>
            </w:r>
            <w:r w:rsidRPr="00836809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或</w:t>
            </w:r>
            <w:r w:rsidRPr="00836809">
              <w:rPr>
                <w:rFonts w:ascii="Times New Roman" w:eastAsia="標楷體" w:hAnsi="Times New Roman"/>
                <w:color w:val="000000" w:themeColor="text1"/>
              </w:rPr>
              <w:t>6-MP</w:t>
            </w:r>
            <w:r w:rsidRPr="00C527F6">
              <w:rPr>
                <w:rFonts w:ascii="Times New Roman" w:eastAsia="標楷體" w:hAnsi="Times New Roman" w:cs="Times New Roman"/>
              </w:rPr>
              <w:t>治療</w:t>
            </w:r>
            <w:proofErr w:type="gramStart"/>
            <w:r w:rsidRPr="00C527F6">
              <w:rPr>
                <w:rFonts w:ascii="Times New Roman" w:eastAsia="標楷體" w:hAnsi="Times New Roman" w:cs="Times New Roman"/>
              </w:rPr>
              <w:t>期間，</w:t>
            </w:r>
            <w:proofErr w:type="gramEnd"/>
            <w:r w:rsidRPr="00C527F6">
              <w:rPr>
                <w:rFonts w:ascii="Times New Roman" w:eastAsia="標楷體" w:hAnsi="Times New Roman" w:cs="Times New Roman"/>
              </w:rPr>
              <w:t>若出現任何不適症狀，如：</w:t>
            </w:r>
            <w:r w:rsidRPr="00836809">
              <w:rPr>
                <w:rFonts w:ascii="Times New Roman" w:eastAsia="標楷體" w:hAnsi="Times New Roman" w:cs="Times New Roman" w:hint="eastAsia"/>
              </w:rPr>
              <w:t>疲倦、噁心嘔吐、喉嚨痛、發熱、發冷、口腔潰瘍、不正常出血或瘀血、呼吸急促，或任何疑似感染現象等</w:t>
            </w:r>
            <w:proofErr w:type="gramStart"/>
            <w:r w:rsidRPr="00836809">
              <w:rPr>
                <w:rFonts w:ascii="Times New Roman" w:eastAsia="標楷體" w:hAnsi="Times New Roman" w:cs="Times New Roman" w:hint="eastAsia"/>
              </w:rPr>
              <w:t>癥</w:t>
            </w:r>
            <w:proofErr w:type="gramEnd"/>
            <w:r w:rsidRPr="00836809">
              <w:rPr>
                <w:rFonts w:ascii="Times New Roman" w:eastAsia="標楷體" w:hAnsi="Times New Roman" w:cs="Times New Roman" w:hint="eastAsia"/>
              </w:rPr>
              <w:t>候，請立即告知醫療人員或尋求醫療協助。</w:t>
            </w:r>
          </w:p>
          <w:p w14:paraId="148B6F6B" w14:textId="77777777" w:rsidR="009E3815" w:rsidRPr="00836809" w:rsidRDefault="009E3815" w:rsidP="004C3C3A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38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C527F6">
              <w:rPr>
                <w:rFonts w:ascii="Times New Roman" w:eastAsia="標楷體" w:hAnsi="Times New Roman" w:cs="Times New Roman"/>
              </w:rPr>
              <w:t>若對於藥品有任何的疑問或疑慮，請諮詢醫療人員。</w:t>
            </w:r>
          </w:p>
          <w:p w14:paraId="443E0A7A" w14:textId="77777777" w:rsidR="009E3815" w:rsidRPr="00C527F6" w:rsidRDefault="009E3815" w:rsidP="004C3C3A">
            <w:pPr>
              <w:pStyle w:val="Web"/>
              <w:spacing w:before="0" w:beforeAutospacing="0" w:after="0" w:afterAutospacing="0" w:line="400" w:lineRule="exact"/>
              <w:ind w:left="240" w:hangingChars="100" w:hanging="240"/>
              <w:jc w:val="both"/>
              <w:rPr>
                <w:rFonts w:ascii="Times New Roman" w:eastAsia="標楷體" w:hAnsi="Times New Roman" w:cs="Times New Roman"/>
                <w:kern w:val="2"/>
              </w:rPr>
            </w:pPr>
          </w:p>
          <w:p w14:paraId="06C20D72" w14:textId="77777777" w:rsidR="009E3815" w:rsidRPr="004C3C3A" w:rsidRDefault="009E3815" w:rsidP="004C3C3A">
            <w:pPr>
              <w:pStyle w:val="Web"/>
              <w:numPr>
                <w:ilvl w:val="1"/>
                <w:numId w:val="38"/>
              </w:numPr>
              <w:spacing w:before="0" w:beforeAutospacing="0" w:after="0" w:afterAutospacing="0" w:line="380" w:lineRule="exact"/>
              <w:ind w:left="240" w:hangingChars="100" w:hanging="240"/>
              <w:rPr>
                <w:rFonts w:ascii="Times New Roman" w:eastAsia="標楷體" w:hAnsi="Times New Roman"/>
              </w:rPr>
            </w:pPr>
            <w:r w:rsidRPr="00C527F6">
              <w:rPr>
                <w:rFonts w:ascii="Times New Roman" w:eastAsia="標楷體" w:hAnsi="Times New Roman" w:cs="Times New Roman"/>
              </w:rPr>
              <w:t>醫療人員或病人懷疑因為使用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 w:rsidRPr="00C527F6">
              <w:rPr>
                <w:rFonts w:ascii="Times New Roman" w:eastAsia="標楷體" w:hAnsi="Times New Roman" w:cs="Times New Roman"/>
              </w:rPr>
              <w:t>服用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 w:rsidRPr="00C527F6">
              <w:rPr>
                <w:rFonts w:ascii="Times New Roman" w:eastAsia="標楷體" w:hAnsi="Times New Roman" w:cs="Times New Roman"/>
              </w:rPr>
              <w:t>藥品導致不良反應發生時，請立即通報給衛生</w:t>
            </w:r>
            <w:proofErr w:type="gramStart"/>
            <w:r w:rsidRPr="00C527F6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C527F6">
              <w:rPr>
                <w:rFonts w:ascii="Times New Roman" w:eastAsia="標楷體" w:hAnsi="Times New Roman" w:cs="Times New Roman"/>
              </w:rPr>
              <w:t>之全國藥物不良反應通報中心，並副知所屬廠商，藥物不良反應通報專線</w:t>
            </w:r>
            <w:r w:rsidRPr="00C527F6">
              <w:rPr>
                <w:rFonts w:ascii="Times New Roman" w:eastAsia="標楷體" w:hAnsi="Times New Roman" w:cs="Times New Roman"/>
              </w:rPr>
              <w:t>02-2396-0100</w:t>
            </w:r>
            <w:r w:rsidRPr="00C527F6">
              <w:rPr>
                <w:rFonts w:ascii="Times New Roman" w:eastAsia="標楷體" w:hAnsi="Times New Roman" w:cs="Times New Roman"/>
              </w:rPr>
              <w:t>，網站：</w:t>
            </w:r>
            <w:hyperlink r:id="rId8" w:history="1">
              <w:r w:rsidRPr="00C527F6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C527F6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C527F6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C527F6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  <w:p w14:paraId="72FE4071" w14:textId="64E38068" w:rsidR="004C3C3A" w:rsidRPr="00CD14AF" w:rsidRDefault="004C3C3A" w:rsidP="004C3C3A">
            <w:pPr>
              <w:pStyle w:val="Web"/>
              <w:spacing w:before="0" w:beforeAutospacing="0" w:after="0" w:afterAutospacing="0" w:line="380" w:lineRule="exact"/>
              <w:rPr>
                <w:rFonts w:ascii="Times New Roman" w:eastAsia="標楷體" w:hAnsi="Times New Roman" w:hint="eastAsia"/>
              </w:rPr>
            </w:pPr>
          </w:p>
        </w:tc>
      </w:tr>
    </w:tbl>
    <w:p w14:paraId="263FF1A0" w14:textId="77777777" w:rsidR="006C44E4" w:rsidRDefault="006C44E4" w:rsidP="006C44E4">
      <w:pPr>
        <w:widowControl/>
        <w:rPr>
          <w:rFonts w:hint="eastAsia"/>
        </w:rPr>
      </w:pPr>
    </w:p>
    <w:sectPr w:rsidR="006C44E4" w:rsidSect="002F492F">
      <w:footerReference w:type="default" r:id="rId9"/>
      <w:pgSz w:w="11906" w:h="16838"/>
      <w:pgMar w:top="1134" w:right="1588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C210A" w14:textId="77777777" w:rsidR="00F70A1E" w:rsidRDefault="00F70A1E" w:rsidP="003B56BC">
      <w:r>
        <w:separator/>
      </w:r>
    </w:p>
  </w:endnote>
  <w:endnote w:type="continuationSeparator" w:id="0">
    <w:p w14:paraId="4D6F7701" w14:textId="77777777" w:rsidR="00F70A1E" w:rsidRDefault="00F70A1E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7413439"/>
      <w:docPartObj>
        <w:docPartGallery w:val="Page Numbers (Bottom of Page)"/>
        <w:docPartUnique/>
      </w:docPartObj>
    </w:sdtPr>
    <w:sdtEndPr/>
    <w:sdtContent>
      <w:p w14:paraId="6101CA99" w14:textId="7BBF486B" w:rsidR="00322790" w:rsidRDefault="0032279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60DFB33" w14:textId="77777777" w:rsidR="00322790" w:rsidRDefault="003227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D1D29" w14:textId="77777777" w:rsidR="00F70A1E" w:rsidRDefault="00F70A1E" w:rsidP="003B56BC">
      <w:r>
        <w:separator/>
      </w:r>
    </w:p>
  </w:footnote>
  <w:footnote w:type="continuationSeparator" w:id="0">
    <w:p w14:paraId="1E43B3F7" w14:textId="77777777" w:rsidR="00F70A1E" w:rsidRDefault="00F70A1E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477931"/>
    <w:multiLevelType w:val="hybridMultilevel"/>
    <w:tmpl w:val="4198C448"/>
    <w:lvl w:ilvl="0" w:tplc="0CBE58EA">
      <w:start w:val="1"/>
      <w:numFmt w:val="bullet"/>
      <w:lvlText w:val="-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22510C"/>
    <w:multiLevelType w:val="hybridMultilevel"/>
    <w:tmpl w:val="2D2AFE80"/>
    <w:lvl w:ilvl="0" w:tplc="9B823222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0C293694"/>
    <w:multiLevelType w:val="hybridMultilevel"/>
    <w:tmpl w:val="10FC1742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0203D1F"/>
    <w:multiLevelType w:val="hybridMultilevel"/>
    <w:tmpl w:val="2BD2842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4912E95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62A7A1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28909C2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2DD1353"/>
    <w:multiLevelType w:val="hybridMultilevel"/>
    <w:tmpl w:val="37F8B1E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2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FE61F40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24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5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A4A2E9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CC85844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28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9DF13B9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74D3E9F"/>
    <w:multiLevelType w:val="hybridMultilevel"/>
    <w:tmpl w:val="66707656"/>
    <w:lvl w:ilvl="0" w:tplc="61C400BC">
      <w:start w:val="1"/>
      <w:numFmt w:val="taiwaneseCountingThousand"/>
      <w:lvlText w:val="(%1)"/>
      <w:lvlJc w:val="left"/>
      <w:pPr>
        <w:ind w:left="1149" w:hanging="480"/>
      </w:pPr>
      <w:rPr>
        <w:rFonts w:ascii="Times New Roman" w:eastAsia="標楷體" w:hAnsi="Times New Roman" w:cs="Times New Roman"/>
        <w:lang w:val="pt-BR"/>
      </w:rPr>
    </w:lvl>
    <w:lvl w:ilvl="1" w:tplc="56F678FC">
      <w:start w:val="1"/>
      <w:numFmt w:val="decimal"/>
      <w:lvlText w:val="%2."/>
      <w:lvlJc w:val="left"/>
      <w:pPr>
        <w:ind w:left="1509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09" w:hanging="480"/>
      </w:pPr>
    </w:lvl>
    <w:lvl w:ilvl="3" w:tplc="0409000F" w:tentative="1">
      <w:start w:val="1"/>
      <w:numFmt w:val="decimal"/>
      <w:lvlText w:val="%4."/>
      <w:lvlJc w:val="left"/>
      <w:pPr>
        <w:ind w:left="25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9" w:hanging="480"/>
      </w:pPr>
    </w:lvl>
    <w:lvl w:ilvl="5" w:tplc="0409001B" w:tentative="1">
      <w:start w:val="1"/>
      <w:numFmt w:val="lowerRoman"/>
      <w:lvlText w:val="%6."/>
      <w:lvlJc w:val="right"/>
      <w:pPr>
        <w:ind w:left="3549" w:hanging="480"/>
      </w:pPr>
    </w:lvl>
    <w:lvl w:ilvl="6" w:tplc="0409000F" w:tentative="1">
      <w:start w:val="1"/>
      <w:numFmt w:val="decimal"/>
      <w:lvlText w:val="%7."/>
      <w:lvlJc w:val="left"/>
      <w:pPr>
        <w:ind w:left="40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9" w:hanging="480"/>
      </w:pPr>
    </w:lvl>
    <w:lvl w:ilvl="8" w:tplc="0409001B" w:tentative="1">
      <w:start w:val="1"/>
      <w:numFmt w:val="lowerRoman"/>
      <w:lvlText w:val="%9."/>
      <w:lvlJc w:val="right"/>
      <w:pPr>
        <w:ind w:left="4989" w:hanging="480"/>
      </w:pPr>
    </w:lvl>
  </w:abstractNum>
  <w:abstractNum w:abstractNumId="35" w15:restartNumberingAfterBreak="0">
    <w:nsid w:val="6ADE115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1A294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212746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5AD2D5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8"/>
  </w:num>
  <w:num w:numId="3">
    <w:abstractNumId w:val="25"/>
  </w:num>
  <w:num w:numId="4">
    <w:abstractNumId w:val="20"/>
  </w:num>
  <w:num w:numId="5">
    <w:abstractNumId w:val="31"/>
  </w:num>
  <w:num w:numId="6">
    <w:abstractNumId w:val="28"/>
  </w:num>
  <w:num w:numId="7">
    <w:abstractNumId w:val="37"/>
  </w:num>
  <w:num w:numId="8">
    <w:abstractNumId w:val="5"/>
  </w:num>
  <w:num w:numId="9">
    <w:abstractNumId w:val="24"/>
  </w:num>
  <w:num w:numId="10">
    <w:abstractNumId w:val="11"/>
  </w:num>
  <w:num w:numId="11">
    <w:abstractNumId w:val="21"/>
  </w:num>
  <w:num w:numId="12">
    <w:abstractNumId w:val="29"/>
  </w:num>
  <w:num w:numId="13">
    <w:abstractNumId w:val="22"/>
  </w:num>
  <w:num w:numId="14">
    <w:abstractNumId w:val="8"/>
  </w:num>
  <w:num w:numId="15">
    <w:abstractNumId w:val="4"/>
  </w:num>
  <w:num w:numId="16">
    <w:abstractNumId w:val="12"/>
  </w:num>
  <w:num w:numId="17">
    <w:abstractNumId w:val="15"/>
  </w:num>
  <w:num w:numId="18">
    <w:abstractNumId w:val="33"/>
  </w:num>
  <w:num w:numId="19">
    <w:abstractNumId w:val="14"/>
  </w:num>
  <w:num w:numId="20">
    <w:abstractNumId w:val="41"/>
  </w:num>
  <w:num w:numId="21">
    <w:abstractNumId w:val="32"/>
  </w:num>
  <w:num w:numId="22">
    <w:abstractNumId w:val="10"/>
  </w:num>
  <w:num w:numId="23">
    <w:abstractNumId w:val="17"/>
  </w:num>
  <w:num w:numId="24">
    <w:abstractNumId w:val="16"/>
  </w:num>
  <w:num w:numId="25">
    <w:abstractNumId w:val="18"/>
  </w:num>
  <w:num w:numId="26">
    <w:abstractNumId w:val="34"/>
  </w:num>
  <w:num w:numId="27">
    <w:abstractNumId w:val="2"/>
  </w:num>
  <w:num w:numId="28">
    <w:abstractNumId w:val="36"/>
  </w:num>
  <w:num w:numId="29">
    <w:abstractNumId w:val="26"/>
  </w:num>
  <w:num w:numId="30">
    <w:abstractNumId w:val="30"/>
  </w:num>
  <w:num w:numId="31">
    <w:abstractNumId w:val="7"/>
  </w:num>
  <w:num w:numId="32">
    <w:abstractNumId w:val="39"/>
  </w:num>
  <w:num w:numId="33">
    <w:abstractNumId w:val="13"/>
  </w:num>
  <w:num w:numId="34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</w:num>
  <w:num w:numId="38">
    <w:abstractNumId w:val="35"/>
  </w:num>
  <w:num w:numId="39">
    <w:abstractNumId w:val="1"/>
  </w:num>
  <w:num w:numId="40">
    <w:abstractNumId w:val="19"/>
  </w:num>
  <w:num w:numId="41">
    <w:abstractNumId w:val="3"/>
  </w:num>
  <w:num w:numId="42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2536"/>
    <w:rsid w:val="00014990"/>
    <w:rsid w:val="00014F47"/>
    <w:rsid w:val="00015040"/>
    <w:rsid w:val="00015666"/>
    <w:rsid w:val="0001590D"/>
    <w:rsid w:val="0001599E"/>
    <w:rsid w:val="0001696E"/>
    <w:rsid w:val="00017171"/>
    <w:rsid w:val="00017AD6"/>
    <w:rsid w:val="00021108"/>
    <w:rsid w:val="00024566"/>
    <w:rsid w:val="00025423"/>
    <w:rsid w:val="00025FFC"/>
    <w:rsid w:val="00031455"/>
    <w:rsid w:val="00032A84"/>
    <w:rsid w:val="00033C23"/>
    <w:rsid w:val="0003449A"/>
    <w:rsid w:val="00034AAD"/>
    <w:rsid w:val="000360F2"/>
    <w:rsid w:val="000362D2"/>
    <w:rsid w:val="00040D39"/>
    <w:rsid w:val="000417A7"/>
    <w:rsid w:val="0004206A"/>
    <w:rsid w:val="0004233F"/>
    <w:rsid w:val="00042AB2"/>
    <w:rsid w:val="000445A1"/>
    <w:rsid w:val="00044ED0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64A7"/>
    <w:rsid w:val="00056F8F"/>
    <w:rsid w:val="00057243"/>
    <w:rsid w:val="00057BAD"/>
    <w:rsid w:val="00060CFC"/>
    <w:rsid w:val="0006115A"/>
    <w:rsid w:val="00061CC7"/>
    <w:rsid w:val="00063573"/>
    <w:rsid w:val="0006398A"/>
    <w:rsid w:val="00065F8B"/>
    <w:rsid w:val="00066AAC"/>
    <w:rsid w:val="000705C6"/>
    <w:rsid w:val="00070A36"/>
    <w:rsid w:val="00070D59"/>
    <w:rsid w:val="000710A8"/>
    <w:rsid w:val="0007146D"/>
    <w:rsid w:val="00072239"/>
    <w:rsid w:val="00074D56"/>
    <w:rsid w:val="00076C07"/>
    <w:rsid w:val="00076FCD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5D2D"/>
    <w:rsid w:val="00096F70"/>
    <w:rsid w:val="0009758E"/>
    <w:rsid w:val="00097636"/>
    <w:rsid w:val="00097928"/>
    <w:rsid w:val="000A04C9"/>
    <w:rsid w:val="000A04E5"/>
    <w:rsid w:val="000A0803"/>
    <w:rsid w:val="000A0B12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C78BC"/>
    <w:rsid w:val="000D0FB2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2E68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0B9"/>
    <w:rsid w:val="00106445"/>
    <w:rsid w:val="00107B2A"/>
    <w:rsid w:val="001107F2"/>
    <w:rsid w:val="001132B4"/>
    <w:rsid w:val="00115A5F"/>
    <w:rsid w:val="001164A3"/>
    <w:rsid w:val="001164B5"/>
    <w:rsid w:val="0012261D"/>
    <w:rsid w:val="001226A2"/>
    <w:rsid w:val="0012674A"/>
    <w:rsid w:val="0013033A"/>
    <w:rsid w:val="0013078F"/>
    <w:rsid w:val="00132D97"/>
    <w:rsid w:val="001330FD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339B"/>
    <w:rsid w:val="00165A20"/>
    <w:rsid w:val="00167294"/>
    <w:rsid w:val="0017168C"/>
    <w:rsid w:val="00172779"/>
    <w:rsid w:val="00173163"/>
    <w:rsid w:val="00174529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2911"/>
    <w:rsid w:val="001A2C38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E76B7"/>
    <w:rsid w:val="001F2486"/>
    <w:rsid w:val="001F251E"/>
    <w:rsid w:val="001F3489"/>
    <w:rsid w:val="001F67CC"/>
    <w:rsid w:val="00203113"/>
    <w:rsid w:val="002042C2"/>
    <w:rsid w:val="00204995"/>
    <w:rsid w:val="0020506E"/>
    <w:rsid w:val="00206072"/>
    <w:rsid w:val="002066FE"/>
    <w:rsid w:val="0021175F"/>
    <w:rsid w:val="00211E09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3BF"/>
    <w:rsid w:val="00221639"/>
    <w:rsid w:val="002243F5"/>
    <w:rsid w:val="00225F49"/>
    <w:rsid w:val="002270DA"/>
    <w:rsid w:val="00232933"/>
    <w:rsid w:val="00233547"/>
    <w:rsid w:val="0023377D"/>
    <w:rsid w:val="00233E51"/>
    <w:rsid w:val="00234612"/>
    <w:rsid w:val="00235459"/>
    <w:rsid w:val="00235F72"/>
    <w:rsid w:val="00237253"/>
    <w:rsid w:val="002379C1"/>
    <w:rsid w:val="00240A6B"/>
    <w:rsid w:val="00240B54"/>
    <w:rsid w:val="00241556"/>
    <w:rsid w:val="00241D14"/>
    <w:rsid w:val="002420D6"/>
    <w:rsid w:val="002422C4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47FF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776F"/>
    <w:rsid w:val="00281C12"/>
    <w:rsid w:val="002829E2"/>
    <w:rsid w:val="00282AD1"/>
    <w:rsid w:val="00284CCE"/>
    <w:rsid w:val="00284E77"/>
    <w:rsid w:val="002853C3"/>
    <w:rsid w:val="00285934"/>
    <w:rsid w:val="00286089"/>
    <w:rsid w:val="002919D7"/>
    <w:rsid w:val="00292C02"/>
    <w:rsid w:val="00293CC3"/>
    <w:rsid w:val="00294900"/>
    <w:rsid w:val="00295558"/>
    <w:rsid w:val="002A2CDB"/>
    <w:rsid w:val="002A3E0E"/>
    <w:rsid w:val="002A42DD"/>
    <w:rsid w:val="002A46FC"/>
    <w:rsid w:val="002A7BB0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174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D6129"/>
    <w:rsid w:val="002D647E"/>
    <w:rsid w:val="002E35F7"/>
    <w:rsid w:val="002E77D9"/>
    <w:rsid w:val="002E78CA"/>
    <w:rsid w:val="002E7C86"/>
    <w:rsid w:val="002F036F"/>
    <w:rsid w:val="002F0FCC"/>
    <w:rsid w:val="002F199C"/>
    <w:rsid w:val="002F2727"/>
    <w:rsid w:val="002F340F"/>
    <w:rsid w:val="002F3BEF"/>
    <w:rsid w:val="002F492F"/>
    <w:rsid w:val="002F751E"/>
    <w:rsid w:val="0030181F"/>
    <w:rsid w:val="003018D9"/>
    <w:rsid w:val="00301A83"/>
    <w:rsid w:val="003025BF"/>
    <w:rsid w:val="003029B5"/>
    <w:rsid w:val="0030700D"/>
    <w:rsid w:val="00314CA8"/>
    <w:rsid w:val="00315100"/>
    <w:rsid w:val="00315F9C"/>
    <w:rsid w:val="003209F3"/>
    <w:rsid w:val="00321CA5"/>
    <w:rsid w:val="00322343"/>
    <w:rsid w:val="00322790"/>
    <w:rsid w:val="00324F1C"/>
    <w:rsid w:val="00325AD7"/>
    <w:rsid w:val="00330124"/>
    <w:rsid w:val="00331A22"/>
    <w:rsid w:val="0033298B"/>
    <w:rsid w:val="00336369"/>
    <w:rsid w:val="00340311"/>
    <w:rsid w:val="00340863"/>
    <w:rsid w:val="00344761"/>
    <w:rsid w:val="003451D4"/>
    <w:rsid w:val="00345BF5"/>
    <w:rsid w:val="00346490"/>
    <w:rsid w:val="003471F0"/>
    <w:rsid w:val="00351553"/>
    <w:rsid w:val="003522C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FA2"/>
    <w:rsid w:val="003735DB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257"/>
    <w:rsid w:val="00387C17"/>
    <w:rsid w:val="00391418"/>
    <w:rsid w:val="0039269B"/>
    <w:rsid w:val="00393D60"/>
    <w:rsid w:val="00393EE2"/>
    <w:rsid w:val="00394AAE"/>
    <w:rsid w:val="00394D72"/>
    <w:rsid w:val="00395FA2"/>
    <w:rsid w:val="003970A4"/>
    <w:rsid w:val="003A4120"/>
    <w:rsid w:val="003A4B07"/>
    <w:rsid w:val="003B1179"/>
    <w:rsid w:val="003B36A0"/>
    <w:rsid w:val="003B53BF"/>
    <w:rsid w:val="003B56BC"/>
    <w:rsid w:val="003B6D8F"/>
    <w:rsid w:val="003B7298"/>
    <w:rsid w:val="003B79B7"/>
    <w:rsid w:val="003C0E64"/>
    <w:rsid w:val="003C3491"/>
    <w:rsid w:val="003C3589"/>
    <w:rsid w:val="003C36D3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3A98"/>
    <w:rsid w:val="003E3C69"/>
    <w:rsid w:val="003E5420"/>
    <w:rsid w:val="003E79B9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06864"/>
    <w:rsid w:val="00410346"/>
    <w:rsid w:val="0041085B"/>
    <w:rsid w:val="00411675"/>
    <w:rsid w:val="0041196A"/>
    <w:rsid w:val="004139D4"/>
    <w:rsid w:val="00415D5C"/>
    <w:rsid w:val="00416206"/>
    <w:rsid w:val="00416503"/>
    <w:rsid w:val="0041658E"/>
    <w:rsid w:val="00417332"/>
    <w:rsid w:val="004225BD"/>
    <w:rsid w:val="00423396"/>
    <w:rsid w:val="0042340B"/>
    <w:rsid w:val="004238C4"/>
    <w:rsid w:val="0042692C"/>
    <w:rsid w:val="00426C67"/>
    <w:rsid w:val="004271F2"/>
    <w:rsid w:val="00427D46"/>
    <w:rsid w:val="004301CC"/>
    <w:rsid w:val="00430DB9"/>
    <w:rsid w:val="00431837"/>
    <w:rsid w:val="00431A54"/>
    <w:rsid w:val="00433728"/>
    <w:rsid w:val="00433972"/>
    <w:rsid w:val="00434DE1"/>
    <w:rsid w:val="004350BF"/>
    <w:rsid w:val="00437820"/>
    <w:rsid w:val="00437F93"/>
    <w:rsid w:val="004419CF"/>
    <w:rsid w:val="00442988"/>
    <w:rsid w:val="00443362"/>
    <w:rsid w:val="00443436"/>
    <w:rsid w:val="0044378E"/>
    <w:rsid w:val="0044486B"/>
    <w:rsid w:val="00444CFC"/>
    <w:rsid w:val="00446477"/>
    <w:rsid w:val="0044760D"/>
    <w:rsid w:val="004506B1"/>
    <w:rsid w:val="00450B45"/>
    <w:rsid w:val="00450DDE"/>
    <w:rsid w:val="004518A5"/>
    <w:rsid w:val="00453A37"/>
    <w:rsid w:val="00453B24"/>
    <w:rsid w:val="0045449B"/>
    <w:rsid w:val="004544F9"/>
    <w:rsid w:val="004559E9"/>
    <w:rsid w:val="00455D9D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4049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156D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B765E"/>
    <w:rsid w:val="004C12EF"/>
    <w:rsid w:val="004C1C19"/>
    <w:rsid w:val="004C261A"/>
    <w:rsid w:val="004C2905"/>
    <w:rsid w:val="004C3924"/>
    <w:rsid w:val="004C3C3A"/>
    <w:rsid w:val="004C50A6"/>
    <w:rsid w:val="004C7D68"/>
    <w:rsid w:val="004D159F"/>
    <w:rsid w:val="004D29F3"/>
    <w:rsid w:val="004D4BFC"/>
    <w:rsid w:val="004D56A7"/>
    <w:rsid w:val="004E0196"/>
    <w:rsid w:val="004E136E"/>
    <w:rsid w:val="004E33E0"/>
    <w:rsid w:val="004E50EE"/>
    <w:rsid w:val="004E53FD"/>
    <w:rsid w:val="004E5D24"/>
    <w:rsid w:val="004E64D5"/>
    <w:rsid w:val="004E6F11"/>
    <w:rsid w:val="004E7318"/>
    <w:rsid w:val="004F0F9F"/>
    <w:rsid w:val="004F2FA5"/>
    <w:rsid w:val="004F302F"/>
    <w:rsid w:val="004F327A"/>
    <w:rsid w:val="004F4667"/>
    <w:rsid w:val="004F5574"/>
    <w:rsid w:val="004F5CCD"/>
    <w:rsid w:val="005044AF"/>
    <w:rsid w:val="00504A7D"/>
    <w:rsid w:val="005062CE"/>
    <w:rsid w:val="005065F7"/>
    <w:rsid w:val="005109F0"/>
    <w:rsid w:val="00510BB3"/>
    <w:rsid w:val="00513748"/>
    <w:rsid w:val="005138BB"/>
    <w:rsid w:val="005148DD"/>
    <w:rsid w:val="0051792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1BF3"/>
    <w:rsid w:val="00533F0C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218E"/>
    <w:rsid w:val="00552AE1"/>
    <w:rsid w:val="00552B7C"/>
    <w:rsid w:val="00554A6A"/>
    <w:rsid w:val="00556097"/>
    <w:rsid w:val="005611EF"/>
    <w:rsid w:val="0056213B"/>
    <w:rsid w:val="00564ABB"/>
    <w:rsid w:val="00564DC2"/>
    <w:rsid w:val="005657EA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0"/>
    <w:rsid w:val="0057706B"/>
    <w:rsid w:val="005801E1"/>
    <w:rsid w:val="0058038A"/>
    <w:rsid w:val="00580DAA"/>
    <w:rsid w:val="00582130"/>
    <w:rsid w:val="00582472"/>
    <w:rsid w:val="00585E61"/>
    <w:rsid w:val="005860B9"/>
    <w:rsid w:val="00586F62"/>
    <w:rsid w:val="00587B3E"/>
    <w:rsid w:val="00587CCB"/>
    <w:rsid w:val="00590BF6"/>
    <w:rsid w:val="00591A5F"/>
    <w:rsid w:val="00591C28"/>
    <w:rsid w:val="00592EC0"/>
    <w:rsid w:val="00594DDE"/>
    <w:rsid w:val="0059661E"/>
    <w:rsid w:val="005A2907"/>
    <w:rsid w:val="005A2B3B"/>
    <w:rsid w:val="005A2B73"/>
    <w:rsid w:val="005A368E"/>
    <w:rsid w:val="005A3DE9"/>
    <w:rsid w:val="005A4C75"/>
    <w:rsid w:val="005A590D"/>
    <w:rsid w:val="005A6393"/>
    <w:rsid w:val="005A78FB"/>
    <w:rsid w:val="005B0483"/>
    <w:rsid w:val="005B3F6D"/>
    <w:rsid w:val="005B4CC3"/>
    <w:rsid w:val="005B6D74"/>
    <w:rsid w:val="005B7585"/>
    <w:rsid w:val="005B7BFB"/>
    <w:rsid w:val="005C11BE"/>
    <w:rsid w:val="005C1444"/>
    <w:rsid w:val="005C4288"/>
    <w:rsid w:val="005C5DCC"/>
    <w:rsid w:val="005D10B5"/>
    <w:rsid w:val="005D32A1"/>
    <w:rsid w:val="005D339D"/>
    <w:rsid w:val="005D5F6A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D8A"/>
    <w:rsid w:val="00600600"/>
    <w:rsid w:val="00600CA8"/>
    <w:rsid w:val="006035DD"/>
    <w:rsid w:val="00605170"/>
    <w:rsid w:val="006103C6"/>
    <w:rsid w:val="00614A6A"/>
    <w:rsid w:val="00614BED"/>
    <w:rsid w:val="006155F4"/>
    <w:rsid w:val="00615F81"/>
    <w:rsid w:val="006177C2"/>
    <w:rsid w:val="00621754"/>
    <w:rsid w:val="00621C2A"/>
    <w:rsid w:val="00623152"/>
    <w:rsid w:val="00623C35"/>
    <w:rsid w:val="006240B7"/>
    <w:rsid w:val="006248CF"/>
    <w:rsid w:val="006257BA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57D92"/>
    <w:rsid w:val="006600E7"/>
    <w:rsid w:val="00660B6C"/>
    <w:rsid w:val="00662D50"/>
    <w:rsid w:val="00663C02"/>
    <w:rsid w:val="00663FF5"/>
    <w:rsid w:val="00664BDC"/>
    <w:rsid w:val="006675F7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4225"/>
    <w:rsid w:val="006852C0"/>
    <w:rsid w:val="0069046F"/>
    <w:rsid w:val="0069200B"/>
    <w:rsid w:val="006920DA"/>
    <w:rsid w:val="00692E10"/>
    <w:rsid w:val="00697722"/>
    <w:rsid w:val="00697C47"/>
    <w:rsid w:val="006A1F54"/>
    <w:rsid w:val="006A26A3"/>
    <w:rsid w:val="006A5661"/>
    <w:rsid w:val="006A58A3"/>
    <w:rsid w:val="006A69BF"/>
    <w:rsid w:val="006A71AD"/>
    <w:rsid w:val="006B25E5"/>
    <w:rsid w:val="006B2D7B"/>
    <w:rsid w:val="006B2E8F"/>
    <w:rsid w:val="006B3A69"/>
    <w:rsid w:val="006B44DF"/>
    <w:rsid w:val="006B463C"/>
    <w:rsid w:val="006B52F4"/>
    <w:rsid w:val="006B5E5C"/>
    <w:rsid w:val="006B702A"/>
    <w:rsid w:val="006B75A3"/>
    <w:rsid w:val="006C0E94"/>
    <w:rsid w:val="006C1F4B"/>
    <w:rsid w:val="006C234F"/>
    <w:rsid w:val="006C44E4"/>
    <w:rsid w:val="006C45B7"/>
    <w:rsid w:val="006C47BE"/>
    <w:rsid w:val="006C58E2"/>
    <w:rsid w:val="006C6FC3"/>
    <w:rsid w:val="006D112B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616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3B1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3E1E"/>
    <w:rsid w:val="00714104"/>
    <w:rsid w:val="007144AA"/>
    <w:rsid w:val="00715E64"/>
    <w:rsid w:val="00716808"/>
    <w:rsid w:val="00716EF9"/>
    <w:rsid w:val="0071778B"/>
    <w:rsid w:val="007227A0"/>
    <w:rsid w:val="00722CB9"/>
    <w:rsid w:val="007234B7"/>
    <w:rsid w:val="007237D2"/>
    <w:rsid w:val="007247F2"/>
    <w:rsid w:val="00724B56"/>
    <w:rsid w:val="007267E3"/>
    <w:rsid w:val="007323D5"/>
    <w:rsid w:val="007334C5"/>
    <w:rsid w:val="00736C4C"/>
    <w:rsid w:val="00740206"/>
    <w:rsid w:val="00740E5B"/>
    <w:rsid w:val="0074276A"/>
    <w:rsid w:val="00744DB3"/>
    <w:rsid w:val="007460FE"/>
    <w:rsid w:val="00747215"/>
    <w:rsid w:val="00747CC6"/>
    <w:rsid w:val="007500AF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26A9"/>
    <w:rsid w:val="007831D8"/>
    <w:rsid w:val="00784D01"/>
    <w:rsid w:val="00785F75"/>
    <w:rsid w:val="00786127"/>
    <w:rsid w:val="007901E5"/>
    <w:rsid w:val="00790EA3"/>
    <w:rsid w:val="007934DF"/>
    <w:rsid w:val="007936F9"/>
    <w:rsid w:val="00793982"/>
    <w:rsid w:val="0079539A"/>
    <w:rsid w:val="00795AFD"/>
    <w:rsid w:val="00795BF3"/>
    <w:rsid w:val="00797816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0F91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B7B75"/>
    <w:rsid w:val="007C0718"/>
    <w:rsid w:val="007C1262"/>
    <w:rsid w:val="007C40DF"/>
    <w:rsid w:val="007C5C3B"/>
    <w:rsid w:val="007C609E"/>
    <w:rsid w:val="007D0969"/>
    <w:rsid w:val="007D1DF8"/>
    <w:rsid w:val="007D2584"/>
    <w:rsid w:val="007D39F0"/>
    <w:rsid w:val="007D4185"/>
    <w:rsid w:val="007D48EB"/>
    <w:rsid w:val="007D56EE"/>
    <w:rsid w:val="007D7314"/>
    <w:rsid w:val="007D75DE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4DF7"/>
    <w:rsid w:val="007F5278"/>
    <w:rsid w:val="007F71CE"/>
    <w:rsid w:val="008007A8"/>
    <w:rsid w:val="00800ABC"/>
    <w:rsid w:val="00802AF9"/>
    <w:rsid w:val="00802B67"/>
    <w:rsid w:val="00804555"/>
    <w:rsid w:val="00807322"/>
    <w:rsid w:val="00807818"/>
    <w:rsid w:val="0081007B"/>
    <w:rsid w:val="00810534"/>
    <w:rsid w:val="00810A0F"/>
    <w:rsid w:val="0081142F"/>
    <w:rsid w:val="008119A7"/>
    <w:rsid w:val="00812A01"/>
    <w:rsid w:val="0081346D"/>
    <w:rsid w:val="00815319"/>
    <w:rsid w:val="00820613"/>
    <w:rsid w:val="00820CE0"/>
    <w:rsid w:val="0082100C"/>
    <w:rsid w:val="00821982"/>
    <w:rsid w:val="00822B7C"/>
    <w:rsid w:val="0082439C"/>
    <w:rsid w:val="0082509E"/>
    <w:rsid w:val="00826499"/>
    <w:rsid w:val="00827416"/>
    <w:rsid w:val="008279C2"/>
    <w:rsid w:val="00834706"/>
    <w:rsid w:val="00834E15"/>
    <w:rsid w:val="00836809"/>
    <w:rsid w:val="00837222"/>
    <w:rsid w:val="00837B60"/>
    <w:rsid w:val="00837D9F"/>
    <w:rsid w:val="00842883"/>
    <w:rsid w:val="00842E69"/>
    <w:rsid w:val="00844BFB"/>
    <w:rsid w:val="00845A1C"/>
    <w:rsid w:val="00846292"/>
    <w:rsid w:val="008463D7"/>
    <w:rsid w:val="00846A2F"/>
    <w:rsid w:val="0084741A"/>
    <w:rsid w:val="008504B5"/>
    <w:rsid w:val="00850B46"/>
    <w:rsid w:val="00851BB1"/>
    <w:rsid w:val="0085276D"/>
    <w:rsid w:val="008555C4"/>
    <w:rsid w:val="00855651"/>
    <w:rsid w:val="0086161A"/>
    <w:rsid w:val="008623B8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6574"/>
    <w:rsid w:val="008773F7"/>
    <w:rsid w:val="00877F8B"/>
    <w:rsid w:val="0088024A"/>
    <w:rsid w:val="00880719"/>
    <w:rsid w:val="0088292E"/>
    <w:rsid w:val="008829A0"/>
    <w:rsid w:val="00882A2E"/>
    <w:rsid w:val="00885669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07C6"/>
    <w:rsid w:val="008A2DB1"/>
    <w:rsid w:val="008A4684"/>
    <w:rsid w:val="008A61CC"/>
    <w:rsid w:val="008A73DA"/>
    <w:rsid w:val="008B03BD"/>
    <w:rsid w:val="008B23E1"/>
    <w:rsid w:val="008B2A90"/>
    <w:rsid w:val="008B6C57"/>
    <w:rsid w:val="008B7AD4"/>
    <w:rsid w:val="008B7CB9"/>
    <w:rsid w:val="008C26F3"/>
    <w:rsid w:val="008C33DC"/>
    <w:rsid w:val="008C3EFD"/>
    <w:rsid w:val="008C40EB"/>
    <w:rsid w:val="008C49E3"/>
    <w:rsid w:val="008C731D"/>
    <w:rsid w:val="008C7BEE"/>
    <w:rsid w:val="008D085F"/>
    <w:rsid w:val="008D3116"/>
    <w:rsid w:val="008D3291"/>
    <w:rsid w:val="008D390A"/>
    <w:rsid w:val="008D56DF"/>
    <w:rsid w:val="008D7A92"/>
    <w:rsid w:val="008D7E15"/>
    <w:rsid w:val="008E018E"/>
    <w:rsid w:val="008E4B76"/>
    <w:rsid w:val="008E65A4"/>
    <w:rsid w:val="008E6E20"/>
    <w:rsid w:val="008E701E"/>
    <w:rsid w:val="008E72F0"/>
    <w:rsid w:val="008E7BAD"/>
    <w:rsid w:val="008F0AC4"/>
    <w:rsid w:val="008F100C"/>
    <w:rsid w:val="008F1570"/>
    <w:rsid w:val="008F1888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17599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1CAB"/>
    <w:rsid w:val="009424B6"/>
    <w:rsid w:val="00943722"/>
    <w:rsid w:val="00944A50"/>
    <w:rsid w:val="00945A9E"/>
    <w:rsid w:val="00945EFA"/>
    <w:rsid w:val="00946C9F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7257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0BC6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2F25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E3815"/>
    <w:rsid w:val="009E758E"/>
    <w:rsid w:val="009F0BA6"/>
    <w:rsid w:val="009F0D61"/>
    <w:rsid w:val="009F1585"/>
    <w:rsid w:val="009F1ABC"/>
    <w:rsid w:val="009F310A"/>
    <w:rsid w:val="009F3199"/>
    <w:rsid w:val="009F38BD"/>
    <w:rsid w:val="009F6436"/>
    <w:rsid w:val="009F6A6C"/>
    <w:rsid w:val="009F6C95"/>
    <w:rsid w:val="009F7294"/>
    <w:rsid w:val="009F7A0A"/>
    <w:rsid w:val="00A01E95"/>
    <w:rsid w:val="00A03108"/>
    <w:rsid w:val="00A038E7"/>
    <w:rsid w:val="00A0525C"/>
    <w:rsid w:val="00A10793"/>
    <w:rsid w:val="00A1298F"/>
    <w:rsid w:val="00A13722"/>
    <w:rsid w:val="00A14D36"/>
    <w:rsid w:val="00A1597B"/>
    <w:rsid w:val="00A1749B"/>
    <w:rsid w:val="00A17684"/>
    <w:rsid w:val="00A17CDC"/>
    <w:rsid w:val="00A22DF4"/>
    <w:rsid w:val="00A240E7"/>
    <w:rsid w:val="00A25391"/>
    <w:rsid w:val="00A26FB7"/>
    <w:rsid w:val="00A27030"/>
    <w:rsid w:val="00A30C4F"/>
    <w:rsid w:val="00A30C62"/>
    <w:rsid w:val="00A3153C"/>
    <w:rsid w:val="00A33080"/>
    <w:rsid w:val="00A40C31"/>
    <w:rsid w:val="00A41EDC"/>
    <w:rsid w:val="00A43DE1"/>
    <w:rsid w:val="00A440D2"/>
    <w:rsid w:val="00A44E5B"/>
    <w:rsid w:val="00A45087"/>
    <w:rsid w:val="00A471CE"/>
    <w:rsid w:val="00A53DF1"/>
    <w:rsid w:val="00A54A05"/>
    <w:rsid w:val="00A5557F"/>
    <w:rsid w:val="00A601E6"/>
    <w:rsid w:val="00A608A0"/>
    <w:rsid w:val="00A60A53"/>
    <w:rsid w:val="00A60BF2"/>
    <w:rsid w:val="00A625C1"/>
    <w:rsid w:val="00A632BA"/>
    <w:rsid w:val="00A64165"/>
    <w:rsid w:val="00A6640A"/>
    <w:rsid w:val="00A6730E"/>
    <w:rsid w:val="00A71152"/>
    <w:rsid w:val="00A7122D"/>
    <w:rsid w:val="00A71383"/>
    <w:rsid w:val="00A7475C"/>
    <w:rsid w:val="00A74E52"/>
    <w:rsid w:val="00A74E6D"/>
    <w:rsid w:val="00A81EDF"/>
    <w:rsid w:val="00A833AD"/>
    <w:rsid w:val="00A84D58"/>
    <w:rsid w:val="00A854A8"/>
    <w:rsid w:val="00A85B65"/>
    <w:rsid w:val="00A8686A"/>
    <w:rsid w:val="00A879AB"/>
    <w:rsid w:val="00A9272F"/>
    <w:rsid w:val="00A93BF1"/>
    <w:rsid w:val="00A93E59"/>
    <w:rsid w:val="00A93F09"/>
    <w:rsid w:val="00A94422"/>
    <w:rsid w:val="00A948FB"/>
    <w:rsid w:val="00A957D4"/>
    <w:rsid w:val="00A96CD7"/>
    <w:rsid w:val="00AA59E4"/>
    <w:rsid w:val="00AA5BC6"/>
    <w:rsid w:val="00AA6D8E"/>
    <w:rsid w:val="00AB1B07"/>
    <w:rsid w:val="00AB378A"/>
    <w:rsid w:val="00AB4943"/>
    <w:rsid w:val="00AB60C5"/>
    <w:rsid w:val="00AB6731"/>
    <w:rsid w:val="00AC30E6"/>
    <w:rsid w:val="00AC679D"/>
    <w:rsid w:val="00AC6CDC"/>
    <w:rsid w:val="00AD0385"/>
    <w:rsid w:val="00AD0472"/>
    <w:rsid w:val="00AD1FC3"/>
    <w:rsid w:val="00AD2DAC"/>
    <w:rsid w:val="00AD36B7"/>
    <w:rsid w:val="00AD4320"/>
    <w:rsid w:val="00AD46E5"/>
    <w:rsid w:val="00AD473B"/>
    <w:rsid w:val="00AD4FC2"/>
    <w:rsid w:val="00AD5095"/>
    <w:rsid w:val="00AD5868"/>
    <w:rsid w:val="00AD6900"/>
    <w:rsid w:val="00AD6ED4"/>
    <w:rsid w:val="00AE0AF6"/>
    <w:rsid w:val="00AE1098"/>
    <w:rsid w:val="00AE2BC4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C81"/>
    <w:rsid w:val="00B01841"/>
    <w:rsid w:val="00B0359E"/>
    <w:rsid w:val="00B04353"/>
    <w:rsid w:val="00B04F6F"/>
    <w:rsid w:val="00B12E12"/>
    <w:rsid w:val="00B13ECC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367B8"/>
    <w:rsid w:val="00B40844"/>
    <w:rsid w:val="00B40E3E"/>
    <w:rsid w:val="00B41CFE"/>
    <w:rsid w:val="00B42756"/>
    <w:rsid w:val="00B42760"/>
    <w:rsid w:val="00B42F9A"/>
    <w:rsid w:val="00B4492A"/>
    <w:rsid w:val="00B45B60"/>
    <w:rsid w:val="00B46251"/>
    <w:rsid w:val="00B4683B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C41"/>
    <w:rsid w:val="00B65FF0"/>
    <w:rsid w:val="00B671D4"/>
    <w:rsid w:val="00B673F8"/>
    <w:rsid w:val="00B70E1C"/>
    <w:rsid w:val="00B724C3"/>
    <w:rsid w:val="00B72576"/>
    <w:rsid w:val="00B72C4D"/>
    <w:rsid w:val="00B73139"/>
    <w:rsid w:val="00B74E5C"/>
    <w:rsid w:val="00B756B6"/>
    <w:rsid w:val="00B80308"/>
    <w:rsid w:val="00B80624"/>
    <w:rsid w:val="00B8469B"/>
    <w:rsid w:val="00B85F17"/>
    <w:rsid w:val="00B86368"/>
    <w:rsid w:val="00B90899"/>
    <w:rsid w:val="00B91C68"/>
    <w:rsid w:val="00B91FC0"/>
    <w:rsid w:val="00B9319A"/>
    <w:rsid w:val="00B93AC7"/>
    <w:rsid w:val="00B947D8"/>
    <w:rsid w:val="00B950F1"/>
    <w:rsid w:val="00B967ED"/>
    <w:rsid w:val="00B96A1B"/>
    <w:rsid w:val="00B972E9"/>
    <w:rsid w:val="00B9768A"/>
    <w:rsid w:val="00BA3E8D"/>
    <w:rsid w:val="00BA4727"/>
    <w:rsid w:val="00BA6779"/>
    <w:rsid w:val="00BA7220"/>
    <w:rsid w:val="00BA7F45"/>
    <w:rsid w:val="00BB1930"/>
    <w:rsid w:val="00BB2614"/>
    <w:rsid w:val="00BB3B2E"/>
    <w:rsid w:val="00BB408C"/>
    <w:rsid w:val="00BB77E5"/>
    <w:rsid w:val="00BC0668"/>
    <w:rsid w:val="00BC1871"/>
    <w:rsid w:val="00BC205E"/>
    <w:rsid w:val="00BC4CFC"/>
    <w:rsid w:val="00BC6314"/>
    <w:rsid w:val="00BC7D57"/>
    <w:rsid w:val="00BD1463"/>
    <w:rsid w:val="00BD4C75"/>
    <w:rsid w:val="00BD7E55"/>
    <w:rsid w:val="00BD7E8C"/>
    <w:rsid w:val="00BD7FA1"/>
    <w:rsid w:val="00BE15D1"/>
    <w:rsid w:val="00BE1DC3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0E6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7109"/>
    <w:rsid w:val="00C07361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16D1E"/>
    <w:rsid w:val="00C16E0C"/>
    <w:rsid w:val="00C20653"/>
    <w:rsid w:val="00C215CB"/>
    <w:rsid w:val="00C223E5"/>
    <w:rsid w:val="00C27E29"/>
    <w:rsid w:val="00C32208"/>
    <w:rsid w:val="00C32212"/>
    <w:rsid w:val="00C3372C"/>
    <w:rsid w:val="00C3461A"/>
    <w:rsid w:val="00C35D2E"/>
    <w:rsid w:val="00C364C2"/>
    <w:rsid w:val="00C3721E"/>
    <w:rsid w:val="00C4098F"/>
    <w:rsid w:val="00C41E8A"/>
    <w:rsid w:val="00C43A18"/>
    <w:rsid w:val="00C46FE1"/>
    <w:rsid w:val="00C50D2C"/>
    <w:rsid w:val="00C522B3"/>
    <w:rsid w:val="00C527F6"/>
    <w:rsid w:val="00C53A76"/>
    <w:rsid w:val="00C54BCF"/>
    <w:rsid w:val="00C56B68"/>
    <w:rsid w:val="00C57F20"/>
    <w:rsid w:val="00C61237"/>
    <w:rsid w:val="00C622C6"/>
    <w:rsid w:val="00C63D0A"/>
    <w:rsid w:val="00C66C72"/>
    <w:rsid w:val="00C67D17"/>
    <w:rsid w:val="00C704A7"/>
    <w:rsid w:val="00C704AA"/>
    <w:rsid w:val="00C72E85"/>
    <w:rsid w:val="00C73195"/>
    <w:rsid w:val="00C751D6"/>
    <w:rsid w:val="00C7724A"/>
    <w:rsid w:val="00C8195E"/>
    <w:rsid w:val="00C83358"/>
    <w:rsid w:val="00C84287"/>
    <w:rsid w:val="00C85111"/>
    <w:rsid w:val="00C859E3"/>
    <w:rsid w:val="00C85E97"/>
    <w:rsid w:val="00C86C7D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0ED8"/>
    <w:rsid w:val="00CB2324"/>
    <w:rsid w:val="00CB72D5"/>
    <w:rsid w:val="00CB7D0E"/>
    <w:rsid w:val="00CB7FA7"/>
    <w:rsid w:val="00CC1FCE"/>
    <w:rsid w:val="00CC3516"/>
    <w:rsid w:val="00CC36E2"/>
    <w:rsid w:val="00CC4901"/>
    <w:rsid w:val="00CC5516"/>
    <w:rsid w:val="00CC591B"/>
    <w:rsid w:val="00CC62A0"/>
    <w:rsid w:val="00CC632C"/>
    <w:rsid w:val="00CD02BA"/>
    <w:rsid w:val="00CD0473"/>
    <w:rsid w:val="00CD04F7"/>
    <w:rsid w:val="00CD149D"/>
    <w:rsid w:val="00CD14AF"/>
    <w:rsid w:val="00CD185F"/>
    <w:rsid w:val="00CD3091"/>
    <w:rsid w:val="00CD4312"/>
    <w:rsid w:val="00CD65C2"/>
    <w:rsid w:val="00CD6D5C"/>
    <w:rsid w:val="00CD79D6"/>
    <w:rsid w:val="00CD7B7C"/>
    <w:rsid w:val="00CE285E"/>
    <w:rsid w:val="00CE6B1F"/>
    <w:rsid w:val="00CE6C8C"/>
    <w:rsid w:val="00CF085B"/>
    <w:rsid w:val="00CF38D2"/>
    <w:rsid w:val="00CF4648"/>
    <w:rsid w:val="00CF4782"/>
    <w:rsid w:val="00CF52BD"/>
    <w:rsid w:val="00CF6626"/>
    <w:rsid w:val="00CF69E9"/>
    <w:rsid w:val="00CF79B3"/>
    <w:rsid w:val="00CF7E3E"/>
    <w:rsid w:val="00D036AF"/>
    <w:rsid w:val="00D04D76"/>
    <w:rsid w:val="00D05209"/>
    <w:rsid w:val="00D05688"/>
    <w:rsid w:val="00D12D28"/>
    <w:rsid w:val="00D14A6E"/>
    <w:rsid w:val="00D16650"/>
    <w:rsid w:val="00D1677B"/>
    <w:rsid w:val="00D2154C"/>
    <w:rsid w:val="00D22C78"/>
    <w:rsid w:val="00D23C54"/>
    <w:rsid w:val="00D24CEF"/>
    <w:rsid w:val="00D27136"/>
    <w:rsid w:val="00D311D3"/>
    <w:rsid w:val="00D312E1"/>
    <w:rsid w:val="00D31502"/>
    <w:rsid w:val="00D31559"/>
    <w:rsid w:val="00D35100"/>
    <w:rsid w:val="00D427E5"/>
    <w:rsid w:val="00D43B6E"/>
    <w:rsid w:val="00D43B77"/>
    <w:rsid w:val="00D43E77"/>
    <w:rsid w:val="00D4536A"/>
    <w:rsid w:val="00D47A6A"/>
    <w:rsid w:val="00D47D26"/>
    <w:rsid w:val="00D53238"/>
    <w:rsid w:val="00D53B04"/>
    <w:rsid w:val="00D5542C"/>
    <w:rsid w:val="00D55E01"/>
    <w:rsid w:val="00D57298"/>
    <w:rsid w:val="00D615AE"/>
    <w:rsid w:val="00D63CDD"/>
    <w:rsid w:val="00D64026"/>
    <w:rsid w:val="00D6450D"/>
    <w:rsid w:val="00D65F3A"/>
    <w:rsid w:val="00D6734B"/>
    <w:rsid w:val="00D67672"/>
    <w:rsid w:val="00D706CC"/>
    <w:rsid w:val="00D70CB5"/>
    <w:rsid w:val="00D710FD"/>
    <w:rsid w:val="00D7135A"/>
    <w:rsid w:val="00D7317D"/>
    <w:rsid w:val="00D73509"/>
    <w:rsid w:val="00D74DFA"/>
    <w:rsid w:val="00D751DC"/>
    <w:rsid w:val="00D753DE"/>
    <w:rsid w:val="00D759AA"/>
    <w:rsid w:val="00D75A8F"/>
    <w:rsid w:val="00D760CD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C82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A3894"/>
    <w:rsid w:val="00DA67D1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1F90"/>
    <w:rsid w:val="00DC2730"/>
    <w:rsid w:val="00DC2F9A"/>
    <w:rsid w:val="00DC3FF3"/>
    <w:rsid w:val="00DC4039"/>
    <w:rsid w:val="00DC4BEF"/>
    <w:rsid w:val="00DD0BF4"/>
    <w:rsid w:val="00DD5548"/>
    <w:rsid w:val="00DD751C"/>
    <w:rsid w:val="00DE378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679"/>
    <w:rsid w:val="00E02F41"/>
    <w:rsid w:val="00E03233"/>
    <w:rsid w:val="00E033CE"/>
    <w:rsid w:val="00E05A65"/>
    <w:rsid w:val="00E05BBA"/>
    <w:rsid w:val="00E06DD1"/>
    <w:rsid w:val="00E119AE"/>
    <w:rsid w:val="00E12B62"/>
    <w:rsid w:val="00E13BA5"/>
    <w:rsid w:val="00E14274"/>
    <w:rsid w:val="00E143E4"/>
    <w:rsid w:val="00E14F3D"/>
    <w:rsid w:val="00E15128"/>
    <w:rsid w:val="00E155EB"/>
    <w:rsid w:val="00E15F38"/>
    <w:rsid w:val="00E16046"/>
    <w:rsid w:val="00E179F1"/>
    <w:rsid w:val="00E20C36"/>
    <w:rsid w:val="00E21A89"/>
    <w:rsid w:val="00E22FBF"/>
    <w:rsid w:val="00E249AC"/>
    <w:rsid w:val="00E253D4"/>
    <w:rsid w:val="00E26909"/>
    <w:rsid w:val="00E300B7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6CBB"/>
    <w:rsid w:val="00E471B8"/>
    <w:rsid w:val="00E50C0F"/>
    <w:rsid w:val="00E53CAC"/>
    <w:rsid w:val="00E62ECE"/>
    <w:rsid w:val="00E64C51"/>
    <w:rsid w:val="00E65DB7"/>
    <w:rsid w:val="00E66208"/>
    <w:rsid w:val="00E67139"/>
    <w:rsid w:val="00E671E9"/>
    <w:rsid w:val="00E70271"/>
    <w:rsid w:val="00E70EF8"/>
    <w:rsid w:val="00E725C6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4ECC"/>
    <w:rsid w:val="00E9760C"/>
    <w:rsid w:val="00EA06DF"/>
    <w:rsid w:val="00EA2539"/>
    <w:rsid w:val="00EA28F8"/>
    <w:rsid w:val="00EA2C6F"/>
    <w:rsid w:val="00EA3562"/>
    <w:rsid w:val="00EA39AB"/>
    <w:rsid w:val="00EA3DF2"/>
    <w:rsid w:val="00EA511E"/>
    <w:rsid w:val="00EB0A72"/>
    <w:rsid w:val="00EB5F18"/>
    <w:rsid w:val="00EB60B5"/>
    <w:rsid w:val="00EB6530"/>
    <w:rsid w:val="00EB790B"/>
    <w:rsid w:val="00EC3F65"/>
    <w:rsid w:val="00EC4013"/>
    <w:rsid w:val="00EC447A"/>
    <w:rsid w:val="00EC64D2"/>
    <w:rsid w:val="00ED1EEF"/>
    <w:rsid w:val="00ED2574"/>
    <w:rsid w:val="00ED2F93"/>
    <w:rsid w:val="00ED391B"/>
    <w:rsid w:val="00ED3C32"/>
    <w:rsid w:val="00ED3FC5"/>
    <w:rsid w:val="00ED412A"/>
    <w:rsid w:val="00ED4301"/>
    <w:rsid w:val="00ED4A48"/>
    <w:rsid w:val="00ED6CFF"/>
    <w:rsid w:val="00EE0AC3"/>
    <w:rsid w:val="00EE2645"/>
    <w:rsid w:val="00EE3254"/>
    <w:rsid w:val="00EE3CB2"/>
    <w:rsid w:val="00EE4CE2"/>
    <w:rsid w:val="00EE75B3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5956"/>
    <w:rsid w:val="00EF7D12"/>
    <w:rsid w:val="00F00046"/>
    <w:rsid w:val="00F01E23"/>
    <w:rsid w:val="00F01E4C"/>
    <w:rsid w:val="00F02CC7"/>
    <w:rsid w:val="00F02F8D"/>
    <w:rsid w:val="00F06355"/>
    <w:rsid w:val="00F12DD3"/>
    <w:rsid w:val="00F12FFD"/>
    <w:rsid w:val="00F14354"/>
    <w:rsid w:val="00F144B6"/>
    <w:rsid w:val="00F14A31"/>
    <w:rsid w:val="00F14C7B"/>
    <w:rsid w:val="00F1529E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2DBE"/>
    <w:rsid w:val="00F436E5"/>
    <w:rsid w:val="00F4397F"/>
    <w:rsid w:val="00F450F0"/>
    <w:rsid w:val="00F4696D"/>
    <w:rsid w:val="00F46CF7"/>
    <w:rsid w:val="00F47C55"/>
    <w:rsid w:val="00F47FB3"/>
    <w:rsid w:val="00F5040F"/>
    <w:rsid w:val="00F50A96"/>
    <w:rsid w:val="00F5329E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0A1E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D4A"/>
    <w:rsid w:val="00F91FED"/>
    <w:rsid w:val="00F9308F"/>
    <w:rsid w:val="00F93A01"/>
    <w:rsid w:val="00F94181"/>
    <w:rsid w:val="00F941FC"/>
    <w:rsid w:val="00F956DE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C7C31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442F"/>
    <w:rsid w:val="00FE4E95"/>
    <w:rsid w:val="00FE5529"/>
    <w:rsid w:val="00FE6823"/>
    <w:rsid w:val="00FE7E9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77E544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f1">
    <w:name w:val="Subtitle"/>
    <w:basedOn w:val="a"/>
    <w:next w:val="a"/>
    <w:link w:val="af2"/>
    <w:uiPriority w:val="11"/>
    <w:qFormat/>
    <w:locked/>
    <w:rsid w:val="00322343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322343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footnote reference"/>
    <w:basedOn w:val="a0"/>
    <w:uiPriority w:val="99"/>
    <w:semiHidden/>
    <w:unhideWhenUsed/>
    <w:rsid w:val="003223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5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2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DA2CAC-9EF4-4BAE-B1E2-D6C46BC2D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8</TotalTime>
  <Pages>3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陳怡婷</cp:lastModifiedBy>
  <cp:revision>3</cp:revision>
  <cp:lastPrinted>2019-03-08T03:16:00Z</cp:lastPrinted>
  <dcterms:created xsi:type="dcterms:W3CDTF">2024-08-15T02:18:00Z</dcterms:created>
  <dcterms:modified xsi:type="dcterms:W3CDTF">2024-08-15T02:26:00Z</dcterms:modified>
</cp:coreProperties>
</file>