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F5040F" w:rsidRDefault="00945EFA" w:rsidP="00E70EF8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t>Amiodarone</w:t>
            </w:r>
            <w:r w:rsidR="00A62BF8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B45B60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口服劑型</w:t>
            </w:r>
            <w:r w:rsidR="003C3491" w:rsidRPr="00F5040F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="003C3491" w:rsidRPr="00F5040F">
              <w:rPr>
                <w:rFonts w:ascii="Times New Roman" w:eastAsia="標楷體" w:hAnsi="標楷體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A27030" w:rsidRDefault="00211E09" w:rsidP="0098445D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945EF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109/9</w:t>
            </w:r>
          </w:p>
        </w:tc>
      </w:tr>
      <w:tr w:rsidR="00211E09" w:rsidRPr="00136184" w:rsidTr="00DB31B4">
        <w:trPr>
          <w:trHeight w:val="332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:rsidR="00211E09" w:rsidRPr="009C62C5" w:rsidRDefault="00945EFA" w:rsidP="00E70EF8">
            <w:pPr>
              <w:pStyle w:val="Default"/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</w:pPr>
            <w:r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  <w:t>Amiodarone</w:t>
            </w:r>
            <w:r w:rsidR="0045449B">
              <w:rPr>
                <w:rFonts w:ascii="Times New Roman" w:eastAsia="標楷體" w:cs="Times New Roman" w:hint="eastAsia"/>
                <w:bCs/>
                <w:color w:val="000000" w:themeColor="text1"/>
                <w:kern w:val="36"/>
                <w:lang w:bidi="hi-IN"/>
              </w:rPr>
              <w:t>口服劑型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:rsidR="0017168C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福利部核</w:t>
            </w:r>
            <w:r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准含</w:t>
            </w:r>
            <w:r w:rsid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a</w:t>
            </w:r>
            <w:r w:rsidR="0045449B"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miodarone</w:t>
            </w:r>
            <w:r w:rsidRPr="0045449B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成分</w:t>
            </w:r>
            <w:r w:rsidR="0045449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口服劑型</w:t>
            </w:r>
            <w:r w:rsidR="002E4D74" w:rsidRPr="0045449B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藥</w:t>
            </w:r>
            <w:r w:rsidR="002E4D74"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品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許可證共</w:t>
            </w:r>
            <w:r w:rsidR="0045449B" w:rsidRPr="007A057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  <w:u w:val="single"/>
              </w:rPr>
              <w:t>4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張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8" w:history="1">
              <w:r w:rsidR="0057091D" w:rsidRPr="0057091D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D760CD" w:rsidRPr="00716808" w:rsidRDefault="00D760CD" w:rsidP="00E300B7">
            <w:pPr>
              <w:tabs>
                <w:tab w:val="left" w:pos="1010"/>
              </w:tabs>
              <w:spacing w:before="100" w:beforeAutospacing="1" w:after="100" w:afterAutospacing="1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E300B7">
              <w:rPr>
                <w:rFonts w:ascii="Times New Roman" w:hAnsi="Times New Roman"/>
                <w:shd w:val="clear" w:color="auto" w:fill="FFFFFF"/>
              </w:rPr>
              <w:t>W</w:t>
            </w:r>
            <w:r w:rsidR="003E5BA5">
              <w:rPr>
                <w:rFonts w:ascii="Times New Roman" w:hAnsi="Times New Roman"/>
                <w:shd w:val="clear" w:color="auto" w:fill="FFFFFF"/>
              </w:rPr>
              <w:t>olff-Parkinson-</w:t>
            </w:r>
            <w:r w:rsidR="003E5BA5">
              <w:rPr>
                <w:rFonts w:ascii="Times New Roman" w:hAnsi="Times New Roman" w:hint="eastAsia"/>
                <w:shd w:val="clear" w:color="auto" w:fill="FFFFFF"/>
              </w:rPr>
              <w:t xml:space="preserve"> </w:t>
            </w:r>
            <w:r w:rsidR="003E5BA5">
              <w:rPr>
                <w:rFonts w:ascii="Times New Roman" w:hAnsi="Times New Roman"/>
                <w:shd w:val="clear" w:color="auto" w:fill="FFFFFF"/>
              </w:rPr>
              <w:t>w</w:t>
            </w:r>
            <w:r w:rsidR="00E300B7">
              <w:rPr>
                <w:rFonts w:ascii="Times New Roman" w:hAnsi="Times New Roman"/>
                <w:shd w:val="clear" w:color="auto" w:fill="FFFFFF"/>
              </w:rPr>
              <w:t>hite</w:t>
            </w:r>
            <w:r w:rsidRPr="00D760CD">
              <w:rPr>
                <w:rFonts w:ascii="Times New Roman" w:eastAsia="標楷體" w:hAnsi="Times New Roman"/>
                <w:color w:val="000000" w:themeColor="text1"/>
                <w:szCs w:val="24"/>
              </w:rPr>
              <w:t>氏症候群、上室性及心室性心搏過速、心房撲動、心房纖維顫動、心室纖維顫動</w:t>
            </w:r>
            <w:r w:rsidR="00C3372C">
              <w:rPr>
                <w:rFonts w:ascii="Times New Roman" w:hAnsi="Times New Roman" w:hint="eastAsia"/>
                <w:color w:val="333333"/>
                <w:shd w:val="clear" w:color="auto" w:fill="FFFFFF"/>
              </w:rPr>
              <w:t>。</w:t>
            </w:r>
          </w:p>
        </w:tc>
      </w:tr>
      <w:tr w:rsidR="00211E09" w:rsidRPr="00136184" w:rsidTr="007171C1">
        <w:trPr>
          <w:trHeight w:val="1477"/>
          <w:jc w:val="center"/>
        </w:trPr>
        <w:tc>
          <w:tcPr>
            <w:tcW w:w="2413" w:type="dxa"/>
            <w:vAlign w:val="center"/>
          </w:tcPr>
          <w:p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:rsidR="006E6616" w:rsidRPr="004D29F3" w:rsidRDefault="000F2E68" w:rsidP="00980804">
            <w:pPr>
              <w:tabs>
                <w:tab w:val="left" w:pos="1010"/>
              </w:tabs>
              <w:spacing w:before="100" w:beforeAutospacing="1" w:after="100" w:afterAutospacing="1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</w:pPr>
            <w:r w:rsidRPr="00554A6A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Amiodarone</w:t>
            </w:r>
            <w:r w:rsidRPr="00554A6A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屬第三類抗心律不整</w:t>
            </w:r>
            <w:r w:rsidR="00980804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藥物，</w:t>
            </w:r>
            <w:r w:rsidR="00C223E5" w:rsidRPr="00554A6A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藉由</w:t>
            </w:r>
            <w:r w:rsidR="0085473E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降低</w:t>
            </w:r>
            <w:r w:rsidR="00C223E5" w:rsidRPr="00554A6A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鉀離子</w:t>
            </w:r>
            <w:r w:rsidR="00C223E5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通</w:t>
            </w:r>
            <w:r w:rsidR="00980804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透性而延長心肌細胞的動作電位第</w:t>
            </w:r>
            <w:r w:rsidR="00980804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3</w:t>
            </w:r>
            <w:r w:rsidR="00980804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期</w:t>
            </w:r>
            <w:r w:rsidR="007206E7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；使竇自主性降低而致心跳變慢，此效應無法為</w:t>
            </w:r>
            <w:r w:rsidR="007206E7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atropin</w:t>
            </w:r>
            <w:r w:rsidR="00FC140E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e</w:t>
            </w:r>
            <w:r w:rsidR="007206E7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所拮抗</w:t>
            </w:r>
            <w:r w:rsidR="007206E7">
              <w:rPr>
                <w:rFonts w:ascii="標楷體" w:eastAsia="標楷體" w:hAnsi="標楷體" w:hint="eastAsia"/>
                <w:bCs/>
                <w:color w:val="000000" w:themeColor="text1"/>
                <w:kern w:val="36"/>
                <w:szCs w:val="24"/>
                <w:lang w:bidi="hi-IN"/>
              </w:rPr>
              <w:t>；</w:t>
            </w:r>
            <w:r w:rsidR="00C223E5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具有</w:t>
            </w:r>
            <w:r w:rsidR="00FC140E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非競爭</w:t>
            </w:r>
            <w:r w:rsidR="00FC140E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性的</w:t>
            </w:r>
            <w:r w:rsidR="00941CAB" w:rsidRPr="00554A6A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α-</w:t>
            </w:r>
            <w:r w:rsidR="00941CAB" w:rsidRPr="00554A6A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及</w:t>
            </w:r>
            <w:r w:rsidR="00941CAB" w:rsidRPr="00554A6A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β-</w:t>
            </w:r>
            <w:r w:rsidR="00941CAB" w:rsidRPr="00554A6A"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  <w:t>交感神經</w:t>
            </w:r>
            <w:r w:rsidR="007206E7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szCs w:val="24"/>
                <w:lang w:bidi="hi-IN"/>
              </w:rPr>
              <w:t>抑制作用</w:t>
            </w:r>
            <w:r w:rsidR="004D5E77">
              <w:rPr>
                <w:rFonts w:ascii="標楷體" w:eastAsia="標楷體" w:hAnsi="標楷體" w:hint="eastAsia"/>
                <w:bCs/>
                <w:color w:val="000000" w:themeColor="text1"/>
                <w:kern w:val="36"/>
                <w:szCs w:val="24"/>
                <w:lang w:bidi="hi-IN"/>
              </w:rPr>
              <w:t>；使竇房</w:t>
            </w:r>
            <w:r w:rsidR="004D5E77">
              <w:rPr>
                <w:rFonts w:ascii="新細明體" w:hAnsi="新細明體" w:hint="eastAsia"/>
                <w:bCs/>
                <w:color w:val="000000" w:themeColor="text1"/>
                <w:kern w:val="36"/>
                <w:szCs w:val="24"/>
                <w:lang w:bidi="hi-IN"/>
              </w:rPr>
              <w:t>、</w:t>
            </w:r>
            <w:r w:rsidR="004D5E77" w:rsidRPr="004D5E77">
              <w:rPr>
                <w:rFonts w:ascii="標楷體" w:eastAsia="標楷體" w:hAnsi="標楷體" w:hint="eastAsia"/>
                <w:bCs/>
                <w:color w:val="000000" w:themeColor="text1"/>
                <w:kern w:val="36"/>
                <w:szCs w:val="24"/>
                <w:lang w:bidi="hi-IN"/>
              </w:rPr>
              <w:t>心房及</w:t>
            </w:r>
            <w:r w:rsidR="004D5E77">
              <w:rPr>
                <w:rFonts w:ascii="標楷體" w:eastAsia="標楷體" w:hAnsi="標楷體" w:hint="eastAsia"/>
                <w:bCs/>
                <w:color w:val="000000" w:themeColor="text1"/>
                <w:kern w:val="36"/>
                <w:szCs w:val="24"/>
                <w:lang w:bidi="hi-IN"/>
              </w:rPr>
              <w:t>結間的傳導減緩，在心跳較快時尤其明顯；</w:t>
            </w:r>
            <w:r w:rsidR="004E32D2">
              <w:rPr>
                <w:rFonts w:ascii="標楷體" w:eastAsia="標楷體" w:hAnsi="標楷體" w:hint="eastAsia"/>
                <w:bCs/>
                <w:color w:val="000000" w:themeColor="text1"/>
                <w:kern w:val="36"/>
                <w:szCs w:val="24"/>
                <w:lang w:bidi="hi-IN"/>
              </w:rPr>
              <w:t>對心室內的傳導沒有影響；</w:t>
            </w:r>
            <w:r w:rsidR="004D5E77">
              <w:rPr>
                <w:rFonts w:ascii="標楷體" w:eastAsia="標楷體" w:hAnsi="標楷體" w:hint="eastAsia"/>
                <w:bCs/>
                <w:color w:val="000000" w:themeColor="text1"/>
                <w:kern w:val="36"/>
                <w:szCs w:val="24"/>
                <w:lang w:bidi="hi-IN"/>
              </w:rPr>
              <w:t>使心房</w:t>
            </w:r>
            <w:r w:rsidR="004D5E77">
              <w:rPr>
                <w:rFonts w:ascii="新細明體" w:hAnsi="新細明體" w:hint="eastAsia"/>
                <w:bCs/>
                <w:color w:val="000000" w:themeColor="text1"/>
                <w:kern w:val="36"/>
                <w:szCs w:val="24"/>
                <w:lang w:bidi="hi-IN"/>
              </w:rPr>
              <w:t>、</w:t>
            </w:r>
            <w:r w:rsidR="004D5E77">
              <w:rPr>
                <w:rFonts w:ascii="標楷體" w:eastAsia="標楷體" w:hAnsi="標楷體" w:hint="eastAsia"/>
                <w:bCs/>
                <w:color w:val="000000" w:themeColor="text1"/>
                <w:kern w:val="36"/>
                <w:szCs w:val="24"/>
                <w:lang w:bidi="hi-IN"/>
              </w:rPr>
              <w:t>竇結與心室的不反應期增長，使這些部位心肌的興奮性降低；會減緩及延長房室附加傳導路徑的不反應期。</w:t>
            </w:r>
          </w:p>
        </w:tc>
      </w:tr>
      <w:tr w:rsidR="00211E09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B54D09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B54D09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882A2E" w:rsidRPr="00F50A96" w:rsidRDefault="00BB5DCC" w:rsidP="00F52589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我國</w:t>
            </w:r>
            <w:r w:rsidR="003522C3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全國藥物不良反應通報中心</w:t>
            </w:r>
            <w:r w:rsidR="00E300B7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接獲</w:t>
            </w:r>
            <w:r w:rsidR="00E300B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數例</w:t>
            </w:r>
            <w:r w:rsidR="00E300B7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疑似</w:t>
            </w:r>
            <w:r w:rsidR="00E300B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長期</w:t>
            </w:r>
            <w:r w:rsidR="007A057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使用</w:t>
            </w:r>
            <w:r w:rsidR="000B2A54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="00233547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amiodarone</w:t>
            </w:r>
            <w:r w:rsidR="000B2A54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成分</w:t>
            </w:r>
            <w:r w:rsidR="007A0573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口服劑型</w:t>
            </w:r>
            <w:r w:rsidR="00AD36B7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藥品</w:t>
            </w:r>
            <w:r w:rsidR="00E300B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後</w:t>
            </w:r>
            <w:r w:rsidR="00EB3CF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發生</w:t>
            </w:r>
            <w:r w:rsidR="0023354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肝毒性</w:t>
            </w:r>
            <w:r w:rsidR="00E300B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="00E300B7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不良反應</w:t>
            </w:r>
            <w:r w:rsidR="00B00C8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通報</w:t>
            </w:r>
            <w:r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案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例</w:t>
            </w:r>
            <w:r w:rsidR="00E300B7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。</w:t>
            </w:r>
          </w:p>
        </w:tc>
      </w:tr>
      <w:tr w:rsidR="004E33E0" w:rsidRPr="00136184" w:rsidTr="00F70E73">
        <w:trPr>
          <w:trHeight w:val="3713"/>
          <w:jc w:val="center"/>
        </w:trPr>
        <w:tc>
          <w:tcPr>
            <w:tcW w:w="2413" w:type="dxa"/>
            <w:vAlign w:val="center"/>
          </w:tcPr>
          <w:p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:rsidR="0098587D" w:rsidRPr="0098587D" w:rsidRDefault="00BB5DCC" w:rsidP="001F3489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我國</w:t>
            </w:r>
            <w:r w:rsidR="003522C3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全國藥物不良反應通報中心</w:t>
            </w:r>
            <w:r w:rsidR="007A60B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共</w:t>
            </w:r>
            <w:r w:rsidR="003522C3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接獲</w:t>
            </w:r>
            <w:r w:rsidR="00EC725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12</w:t>
            </w:r>
            <w:r w:rsidR="00E45E8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例</w:t>
            </w:r>
            <w:r w:rsidR="003522C3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疑似</w:t>
            </w:r>
            <w:r w:rsidR="003522C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長期</w:t>
            </w:r>
            <w:r w:rsidR="007A60B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(&gt;3</w:t>
            </w:r>
            <w:r w:rsidR="007A60B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個月</w:t>
            </w:r>
            <w:r w:rsidR="007A60B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)</w:t>
            </w:r>
            <w:r w:rsidR="003522C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使用</w:t>
            </w:r>
            <w:r w:rsidR="000B2A54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="003522C3">
              <w:rPr>
                <w:rFonts w:ascii="Times New Roman" w:eastAsia="標楷體"/>
                <w:bCs/>
                <w:color w:val="000000" w:themeColor="text1"/>
                <w:kern w:val="36"/>
                <w:lang w:bidi="hi-IN"/>
              </w:rPr>
              <w:t>amiodarone</w:t>
            </w:r>
            <w:r w:rsidR="000B2A54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成分</w:t>
            </w:r>
            <w:r w:rsidR="007A60B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口服劑型</w:t>
            </w:r>
            <w:r w:rsidR="0098587D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藥品</w:t>
            </w:r>
            <w:r w:rsidR="003522C3">
              <w:rPr>
                <w:rFonts w:ascii="Times New Roman" w:eastAsia="標楷體" w:hint="eastAsia"/>
                <w:bCs/>
                <w:color w:val="000000" w:themeColor="text1"/>
                <w:kern w:val="36"/>
                <w:lang w:bidi="hi-IN"/>
              </w:rPr>
              <w:t>引起</w:t>
            </w:r>
            <w:r w:rsidR="003522C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肝毒性</w:t>
            </w:r>
            <w:r w:rsidR="0098587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(</w:t>
            </w:r>
            <w:r w:rsidR="0098587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包含</w:t>
            </w:r>
            <w:r w:rsidR="0098587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:</w:t>
            </w:r>
            <w:r w:rsidR="00277BF2">
              <w:rPr>
                <w:rStyle w:val="af2"/>
                <w:rFonts w:ascii="Times New Roman" w:eastAsia="標楷體" w:hAnsi="標楷體" w:cs="Times New Roman" w:hint="eastAsia"/>
                <w:i w:val="0"/>
                <w:color w:val="000000" w:themeColor="text1"/>
              </w:rPr>
              <w:t xml:space="preserve"> </w:t>
            </w:r>
            <w:r w:rsidR="00277BF2">
              <w:rPr>
                <w:rStyle w:val="af2"/>
                <w:rFonts w:ascii="Times New Roman" w:eastAsia="標楷體" w:hAnsi="標楷體" w:cs="Times New Roman" w:hint="eastAsia"/>
                <w:i w:val="0"/>
                <w:color w:val="000000" w:themeColor="text1"/>
              </w:rPr>
              <w:t>肝指數</w:t>
            </w:r>
            <w:r w:rsidR="00277BF2" w:rsidRPr="001F3489">
              <w:rPr>
                <w:rStyle w:val="af2"/>
                <w:rFonts w:ascii="Times New Roman" w:eastAsia="標楷體" w:hAnsi="標楷體" w:cs="Times New Roman" w:hint="eastAsia"/>
                <w:i w:val="0"/>
                <w:color w:val="000000" w:themeColor="text1"/>
              </w:rPr>
              <w:t>上升</w:t>
            </w:r>
            <w:r w:rsidR="0098587D">
              <w:rPr>
                <w:rFonts w:ascii="新細明體" w:hAnsi="新細明體" w:hint="eastAsia"/>
              </w:rPr>
              <w:t>、</w:t>
            </w:r>
            <w:r w:rsidR="0098587D" w:rsidRPr="001F3489">
              <w:rPr>
                <w:rFonts w:ascii="Times New Roman" w:eastAsia="標楷體" w:hAnsi="Times New Roman" w:hint="eastAsia"/>
              </w:rPr>
              <w:t>急性肝炎</w:t>
            </w:r>
            <w:r w:rsidR="00277BF2">
              <w:rPr>
                <w:rFonts w:ascii="新細明體" w:hAnsi="新細明體" w:hint="eastAsia"/>
              </w:rPr>
              <w:t>.</w:t>
            </w:r>
            <w:r w:rsidR="0041374E">
              <w:rPr>
                <w:rStyle w:val="af2"/>
                <w:rFonts w:ascii="Times New Roman" w:eastAsia="標楷體" w:hAnsi="標楷體" w:cs="Times New Roman" w:hint="eastAsia"/>
                <w:i w:val="0"/>
                <w:color w:val="000000" w:themeColor="text1"/>
              </w:rPr>
              <w:t>..</w:t>
            </w:r>
            <w:r w:rsidR="0041374E">
              <w:rPr>
                <w:rStyle w:val="af2"/>
                <w:rFonts w:ascii="Times New Roman" w:eastAsia="標楷體" w:hAnsi="標楷體" w:cs="Times New Roman" w:hint="eastAsia"/>
                <w:i w:val="0"/>
                <w:color w:val="000000" w:themeColor="text1"/>
              </w:rPr>
              <w:t>等症狀</w:t>
            </w:r>
            <w:r w:rsidR="0098587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)</w:t>
            </w:r>
            <w:r w:rsidR="003522C3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="003522C3" w:rsidRPr="00551C0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不良反應</w:t>
            </w:r>
            <w:r w:rsidR="00980BC6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通報</w:t>
            </w:r>
            <w:r w:rsidR="0098587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案例</w:t>
            </w:r>
            <w:r w:rsidR="002E001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</w:t>
            </w:r>
            <w:r w:rsidR="002E001C">
              <w:rPr>
                <w:rFonts w:ascii="Times New Roman" w:eastAsia="標楷體" w:hAnsi="Times New Roman" w:hint="eastAsia"/>
              </w:rPr>
              <w:t>其中</w:t>
            </w:r>
            <w:r w:rsidR="002E001C">
              <w:rPr>
                <w:rFonts w:ascii="Times New Roman" w:eastAsia="標楷體" w:hAnsi="Times New Roman" w:hint="eastAsia"/>
              </w:rPr>
              <w:t>2</w:t>
            </w:r>
            <w:r w:rsidR="002E001C">
              <w:rPr>
                <w:rFonts w:ascii="Times New Roman" w:eastAsia="標楷體" w:hAnsi="Times New Roman" w:hint="eastAsia"/>
              </w:rPr>
              <w:t>例</w:t>
            </w:r>
            <w:r w:rsidR="003F1745">
              <w:rPr>
                <w:rFonts w:ascii="Times New Roman" w:eastAsia="標楷體" w:hAnsi="Times New Roman" w:hint="eastAsia"/>
              </w:rPr>
              <w:t>使用該成分</w:t>
            </w:r>
            <w:r w:rsidR="00024D95">
              <w:rPr>
                <w:rFonts w:ascii="Times New Roman" w:eastAsia="標楷體" w:hAnsi="Times New Roman" w:hint="eastAsia"/>
              </w:rPr>
              <w:t>口服劑型</w:t>
            </w:r>
            <w:r w:rsidR="003F1745">
              <w:rPr>
                <w:rFonts w:ascii="Times New Roman" w:eastAsia="標楷體" w:hAnsi="Times New Roman" w:hint="eastAsia"/>
              </w:rPr>
              <w:t>藥品</w:t>
            </w:r>
            <w:r w:rsidR="007A60BE">
              <w:rPr>
                <w:rFonts w:ascii="Times New Roman" w:eastAsia="標楷體" w:hAnsi="Times New Roman" w:hint="eastAsia"/>
              </w:rPr>
              <w:t>後</w:t>
            </w:r>
            <w:r w:rsidR="003F1745">
              <w:rPr>
                <w:rFonts w:ascii="Times New Roman" w:eastAsia="標楷體" w:hAnsi="Times New Roman" w:hint="eastAsia"/>
              </w:rPr>
              <w:t>發生</w:t>
            </w:r>
            <w:r w:rsidR="002E001C">
              <w:rPr>
                <w:rFonts w:ascii="Times New Roman" w:eastAsia="標楷體" w:hAnsi="Times New Roman" w:hint="eastAsia"/>
              </w:rPr>
              <w:t>肝硬化</w:t>
            </w:r>
            <w:r w:rsidR="003F1745">
              <w:rPr>
                <w:rFonts w:ascii="Times New Roman" w:eastAsia="標楷體" w:hAnsi="Times New Roman" w:hint="eastAsia"/>
              </w:rPr>
              <w:t>之</w:t>
            </w:r>
            <w:r w:rsidR="002E001C">
              <w:rPr>
                <w:rFonts w:ascii="Times New Roman" w:eastAsia="標楷體" w:hAnsi="Times New Roman" w:hint="eastAsia"/>
              </w:rPr>
              <w:t>情形</w:t>
            </w:r>
            <w:r w:rsidR="001F3489" w:rsidRPr="001F3489">
              <w:rPr>
                <w:rFonts w:ascii="Times New Roman" w:eastAsia="標楷體" w:hAnsi="Times New Roman"/>
              </w:rPr>
              <w:t>。</w:t>
            </w:r>
          </w:p>
          <w:p w:rsidR="001F3489" w:rsidRPr="003471F0" w:rsidRDefault="0098587D" w:rsidP="001F3489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</w:rPr>
              <w:t>上述通報案例中，</w:t>
            </w:r>
            <w:r w:rsidR="003522C3">
              <w:rPr>
                <w:rFonts w:ascii="Times New Roman" w:eastAsia="標楷體" w:hAnsi="Times New Roman" w:hint="eastAsia"/>
              </w:rPr>
              <w:t>部分個案在使用藥物數個月後即出現肝損傷症狀，但亦</w:t>
            </w:r>
            <w:r w:rsidR="003471F0">
              <w:rPr>
                <w:rFonts w:ascii="Times New Roman" w:eastAsia="標楷體" w:hAnsi="Times New Roman" w:hint="eastAsia"/>
              </w:rPr>
              <w:t>有使用數年後才出現</w:t>
            </w:r>
            <w:r>
              <w:rPr>
                <w:rFonts w:ascii="Times New Roman" w:eastAsia="標楷體" w:hAnsi="Times New Roman" w:hint="eastAsia"/>
              </w:rPr>
              <w:t>相關症狀之</w:t>
            </w:r>
            <w:r w:rsidR="003471F0">
              <w:rPr>
                <w:rFonts w:ascii="Times New Roman" w:eastAsia="標楷體" w:hAnsi="Times New Roman" w:hint="eastAsia"/>
              </w:rPr>
              <w:t>案</w:t>
            </w:r>
            <w:r w:rsidR="00B00C81">
              <w:rPr>
                <w:rFonts w:ascii="Times New Roman" w:eastAsia="標楷體" w:hAnsi="Times New Roman" w:hint="eastAsia"/>
              </w:rPr>
              <w:t>例</w:t>
            </w:r>
            <w:r w:rsidR="00AC70FC">
              <w:rPr>
                <w:rFonts w:ascii="Times New Roman" w:eastAsia="標楷體" w:hAnsi="Times New Roman" w:hint="eastAsia"/>
              </w:rPr>
              <w:t>，且有少數個案之肝臟相關症狀並不明顯</w:t>
            </w:r>
            <w:r w:rsidR="00A957D4">
              <w:rPr>
                <w:rFonts w:ascii="Times New Roman" w:eastAsia="標楷體" w:hAnsi="Times New Roman" w:hint="eastAsia"/>
              </w:rPr>
              <w:t>。</w:t>
            </w:r>
          </w:p>
          <w:p w:rsidR="00FC6CD9" w:rsidRPr="00F06159" w:rsidRDefault="00614BED" w:rsidP="00E244B6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</w:rPr>
              <w:t>使用</w:t>
            </w:r>
            <w:r w:rsidR="000B2A54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="00533F0C" w:rsidRPr="00533F0C">
              <w:rPr>
                <w:rFonts w:ascii="Times New Roman" w:eastAsia="標楷體" w:hAnsi="Times New Roman"/>
                <w:color w:val="000000" w:themeColor="text1"/>
              </w:rPr>
              <w:t>amiodarone</w:t>
            </w:r>
            <w:r w:rsidR="000B2A54">
              <w:rPr>
                <w:rFonts w:ascii="Times New Roman" w:eastAsia="標楷體" w:hAnsi="Times New Roman" w:hint="eastAsia"/>
                <w:color w:val="000000" w:themeColor="text1"/>
              </w:rPr>
              <w:t>成分</w:t>
            </w:r>
            <w:r w:rsidR="002B3DF7">
              <w:rPr>
                <w:rFonts w:ascii="Times New Roman" w:eastAsia="標楷體" w:hAnsi="Times New Roman" w:hint="eastAsia"/>
                <w:color w:val="000000" w:themeColor="text1"/>
              </w:rPr>
              <w:t>口服劑型</w:t>
            </w:r>
            <w:r w:rsidR="00533F0C">
              <w:rPr>
                <w:rFonts w:ascii="Times New Roman" w:eastAsia="標楷體" w:hAnsi="Times New Roman" w:hint="eastAsia"/>
                <w:color w:val="000000" w:themeColor="text1"/>
              </w:rPr>
              <w:t>藥品</w:t>
            </w:r>
            <w:r w:rsidR="00375CC8">
              <w:rPr>
                <w:rFonts w:ascii="Times New Roman" w:eastAsia="標楷體" w:hAnsi="Times New Roman" w:hint="eastAsia"/>
                <w:color w:val="000000" w:themeColor="text1"/>
              </w:rPr>
              <w:t>引起的慢性肝異常，</w:t>
            </w:r>
            <w:r w:rsidR="002B3DF7">
              <w:rPr>
                <w:rFonts w:eastAsia="標楷體" w:hAnsi="標楷體" w:hint="eastAsia"/>
                <w:color w:val="000000" w:themeColor="text1"/>
              </w:rPr>
              <w:t>其臨床</w:t>
            </w:r>
            <w:r w:rsidR="00375CC8">
              <w:rPr>
                <w:rFonts w:eastAsia="標楷體" w:hAnsi="標楷體" w:hint="eastAsia"/>
                <w:color w:val="000000" w:themeColor="text1"/>
              </w:rPr>
              <w:t>及生化徵兆</w:t>
            </w:r>
            <w:r w:rsidR="00E244B6">
              <w:rPr>
                <w:rFonts w:eastAsia="標楷體" w:hAnsi="標楷體" w:hint="eastAsia"/>
                <w:color w:val="000000" w:themeColor="text1"/>
              </w:rPr>
              <w:t>可能有限</w:t>
            </w:r>
            <w:r w:rsidR="00A93906" w:rsidRPr="00A71383">
              <w:rPr>
                <w:rFonts w:eastAsia="標楷體" w:hAnsi="標楷體" w:hint="eastAsia"/>
              </w:rPr>
              <w:t>（</w:t>
            </w:r>
            <w:r w:rsidR="00A93906" w:rsidRPr="00A71383">
              <w:rPr>
                <w:rStyle w:val="af2"/>
                <w:rFonts w:ascii="Times New Roman" w:eastAsia="標楷體" w:hAnsi="標楷體" w:cs="Times New Roman" w:hint="eastAsia"/>
                <w:i w:val="0"/>
              </w:rPr>
              <w:t>如</w:t>
            </w:r>
            <w:r w:rsidR="00A93906" w:rsidRPr="00A71383">
              <w:rPr>
                <w:rFonts w:ascii="新細明體" w:eastAsia="標楷體" w:hAnsi="Times New Roman" w:cs="新細明體" w:hint="eastAsia"/>
              </w:rPr>
              <w:t>肝生化值僅輕中度上升</w:t>
            </w:r>
            <w:r w:rsidR="00A93906" w:rsidRPr="00A71383">
              <w:rPr>
                <w:rFonts w:eastAsia="標楷體" w:hAnsi="標楷體" w:hint="eastAsia"/>
              </w:rPr>
              <w:t>）</w:t>
            </w:r>
            <w:r w:rsidR="00E244B6">
              <w:rPr>
                <w:rFonts w:ascii="標楷體" w:eastAsia="標楷體" w:hAnsi="標楷體" w:hint="eastAsia"/>
                <w:color w:val="000000" w:themeColor="text1"/>
              </w:rPr>
              <w:t>，</w:t>
            </w:r>
            <w:r w:rsidR="002A3CA9">
              <w:rPr>
                <w:rFonts w:eastAsia="標楷體" w:hAnsi="標楷體" w:hint="eastAsia"/>
                <w:color w:val="000000" w:themeColor="text1"/>
              </w:rPr>
              <w:t>然可能會</w:t>
            </w:r>
            <w:r w:rsidR="00A801AB">
              <w:rPr>
                <w:rFonts w:eastAsia="標楷體" w:hAnsi="標楷體" w:hint="eastAsia"/>
                <w:color w:val="000000" w:themeColor="text1"/>
              </w:rPr>
              <w:t>進展為</w:t>
            </w:r>
            <w:r w:rsidR="00E244B6">
              <w:rPr>
                <w:rFonts w:eastAsia="標楷體" w:hAnsi="標楷體" w:hint="eastAsia"/>
                <w:color w:val="000000" w:themeColor="text1"/>
              </w:rPr>
              <w:t>肝衰竭或肝硬化</w:t>
            </w:r>
            <w:r w:rsidR="00533F0C">
              <w:rPr>
                <w:rFonts w:eastAsia="標楷體" w:hAnsi="標楷體" w:hint="eastAsia"/>
                <w:color w:val="000000" w:themeColor="text1"/>
              </w:rPr>
              <w:t>。</w:t>
            </w:r>
          </w:p>
        </w:tc>
      </w:tr>
      <w:tr w:rsidR="00BB5DCC" w:rsidRPr="00136184" w:rsidTr="007A623B">
        <w:trPr>
          <w:trHeight w:val="2076"/>
          <w:jc w:val="center"/>
        </w:trPr>
        <w:tc>
          <w:tcPr>
            <w:tcW w:w="2413" w:type="dxa"/>
            <w:vAlign w:val="center"/>
          </w:tcPr>
          <w:p w:rsidR="00BB5DCC" w:rsidRPr="00CD5851" w:rsidRDefault="00BB5DCC" w:rsidP="00CD5851">
            <w:pPr>
              <w:jc w:val="center"/>
              <w:rPr>
                <w:rFonts w:ascii="Times New Roman" w:eastAsia="標楷體" w:hAnsi="標楷體"/>
              </w:rPr>
            </w:pPr>
            <w:r w:rsidRPr="00CD5851">
              <w:rPr>
                <w:rFonts w:ascii="Times New Roman" w:eastAsia="標楷體" w:hAnsi="標楷體" w:hint="eastAsia"/>
              </w:rPr>
              <w:t>食品藥物管理署</w:t>
            </w:r>
          </w:p>
          <w:p w:rsidR="00BB5DCC" w:rsidRPr="00B57AEE" w:rsidRDefault="00BB5DCC" w:rsidP="00CD5851">
            <w:pPr>
              <w:jc w:val="center"/>
              <w:rPr>
                <w:rFonts w:ascii="Times New Roman" w:eastAsia="標楷體" w:hAnsi="標楷體"/>
              </w:rPr>
            </w:pPr>
            <w:r w:rsidRPr="00CD5851">
              <w:rPr>
                <w:rFonts w:ascii="Times New Roman" w:eastAsia="標楷體" w:hAnsi="標楷體" w:hint="eastAsia"/>
              </w:rPr>
              <w:t>風險溝通說明</w:t>
            </w:r>
          </w:p>
        </w:tc>
        <w:tc>
          <w:tcPr>
            <w:tcW w:w="7316" w:type="dxa"/>
          </w:tcPr>
          <w:p w:rsidR="00BB5DCC" w:rsidRPr="00D63CDD" w:rsidRDefault="00BB5DCC" w:rsidP="00CD5851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Times New Roman" w:eastAsia="標楷體" w:hAnsi="Times New Roman" w:cs="Times New Roman" w:hint="eastAsia"/>
                <w:b/>
                <w:bCs/>
                <w:color w:val="000000"/>
              </w:rPr>
              <w:t xml:space="preserve"> </w:t>
            </w:r>
            <w:r w:rsidRPr="00CD5851">
              <w:rPr>
                <w:rFonts w:ascii="Times New Roman" w:eastAsia="標楷體" w:hAnsi="Times New Roman" w:cs="Times New Roman" w:hint="eastAsia"/>
                <w:b/>
                <w:bCs/>
                <w:color w:val="000000"/>
                <w:u w:val="single"/>
              </w:rPr>
              <w:t>食品藥物管理署</w:t>
            </w:r>
            <w:r w:rsidRPr="00CD5851">
              <w:rPr>
                <w:rFonts w:ascii="Times New Roman" w:eastAsia="標楷體" w:hAnsi="Times New Roman" w:cs="Times New Roman" w:hint="eastAsia"/>
                <w:b/>
                <w:color w:val="000000"/>
                <w:u w:val="single"/>
              </w:rPr>
              <w:t>說明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：</w:t>
            </w:r>
          </w:p>
          <w:p w:rsidR="00BB5DCC" w:rsidRPr="00CD5851" w:rsidRDefault="00F70E73" w:rsidP="00E5301E">
            <w:pPr>
              <w:pStyle w:val="Web"/>
              <w:numPr>
                <w:ilvl w:val="0"/>
                <w:numId w:val="32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經查，我國核准含</w:t>
            </w:r>
            <w:r>
              <w:rPr>
                <w:rFonts w:ascii="Times New Roman" w:eastAsia="標楷體" w:hAnsi="Times New Roman" w:cs="Times New Roman" w:hint="eastAsia"/>
              </w:rPr>
              <w:t>amiodarone</w:t>
            </w:r>
            <w:r w:rsidR="00222488">
              <w:rPr>
                <w:rFonts w:ascii="Times New Roman" w:eastAsia="標楷體" w:hAnsi="Times New Roman" w:cs="Times New Roman" w:hint="eastAsia"/>
              </w:rPr>
              <w:t>成分</w:t>
            </w:r>
            <w:r>
              <w:rPr>
                <w:rFonts w:ascii="Times New Roman" w:eastAsia="標楷體" w:hAnsi="Times New Roman" w:cs="Times New Roman" w:hint="eastAsia"/>
              </w:rPr>
              <w:t>口服劑型</w:t>
            </w:r>
            <w:r w:rsidR="007A0573">
              <w:rPr>
                <w:rFonts w:ascii="Times New Roman" w:eastAsia="標楷體" w:hAnsi="Times New Roman" w:cs="Times New Roman" w:hint="eastAsia"/>
              </w:rPr>
              <w:t>之</w:t>
            </w:r>
            <w:r>
              <w:rPr>
                <w:rFonts w:ascii="Times New Roman" w:eastAsia="標楷體" w:hAnsi="Times New Roman" w:cs="Times New Roman" w:hint="eastAsia"/>
              </w:rPr>
              <w:t>藥品許可證共</w:t>
            </w:r>
            <w:r>
              <w:rPr>
                <w:rFonts w:ascii="Times New Roman" w:eastAsia="標楷體" w:hAnsi="Times New Roman" w:cs="Times New Roman" w:hint="eastAsia"/>
              </w:rPr>
              <w:t>4</w:t>
            </w:r>
            <w:r>
              <w:rPr>
                <w:rFonts w:ascii="Times New Roman" w:eastAsia="標楷體" w:hAnsi="Times New Roman" w:cs="Times New Roman" w:hint="eastAsia"/>
              </w:rPr>
              <w:t>張，其</w:t>
            </w:r>
            <w:r w:rsidRPr="009536E8">
              <w:rPr>
                <w:rFonts w:ascii="Arial" w:eastAsia="標楷體" w:hAnsi="Arial" w:cs="Arial"/>
              </w:rPr>
              <w:t>中文仿單已刊載</w:t>
            </w:r>
            <w:r w:rsidR="00E5301E" w:rsidRPr="00E5301E">
              <w:rPr>
                <w:rFonts w:ascii="Arial" w:eastAsia="標楷體" w:hAnsi="Arial" w:cs="Arial" w:hint="eastAsia"/>
              </w:rPr>
              <w:t>慢性肝損傷風險</w:t>
            </w:r>
            <w:r w:rsidR="00E5301E">
              <w:rPr>
                <w:rFonts w:ascii="Arial" w:eastAsia="標楷體" w:hAnsi="Arial" w:cs="Arial" w:hint="eastAsia"/>
              </w:rPr>
              <w:t>相關安全資訊</w:t>
            </w:r>
            <w:r>
              <w:rPr>
                <w:rFonts w:ascii="Arial" w:eastAsia="標楷體" w:hAnsi="Arial" w:cs="Arial" w:hint="eastAsia"/>
              </w:rPr>
              <w:t>，其</w:t>
            </w:r>
            <w:r w:rsidRPr="009536E8">
              <w:rPr>
                <w:rFonts w:ascii="Arial" w:eastAsia="標楷體" w:hAnsi="Arial" w:cs="Arial"/>
              </w:rPr>
              <w:t>刊載情形如下：</w:t>
            </w:r>
          </w:p>
          <w:p w:rsidR="00497D99" w:rsidRPr="00497D99" w:rsidRDefault="00CE48C1" w:rsidP="00497D99">
            <w:pPr>
              <w:pStyle w:val="Web"/>
              <w:numPr>
                <w:ilvl w:val="0"/>
                <w:numId w:val="33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>
              <w:rPr>
                <w:rFonts w:ascii="新細明體" w:eastAsia="新細明體" w:hAnsi="新細明體" w:cs="Times New Roman" w:hint="eastAsia"/>
              </w:rPr>
              <w:t>「</w:t>
            </w:r>
            <w:r w:rsidRPr="00BF1570">
              <w:rPr>
                <w:rFonts w:ascii="Times New Roman" w:eastAsia="標楷體" w:hAnsi="Times New Roman" w:cs="Times New Roman" w:hint="eastAsia"/>
                <w:u w:val="single"/>
              </w:rPr>
              <w:t>警語及注意事項</w:t>
            </w:r>
            <w:r>
              <w:rPr>
                <w:rFonts w:ascii="新細明體" w:eastAsia="新細明體" w:hAnsi="新細明體" w:cs="Times New Roman" w:hint="eastAsia"/>
              </w:rPr>
              <w:t>」</w:t>
            </w:r>
            <w:r w:rsidR="00485560">
              <w:rPr>
                <w:rFonts w:ascii="Times New Roman" w:eastAsia="標楷體" w:hAnsi="Times New Roman" w:cs="Times New Roman" w:hint="eastAsia"/>
              </w:rPr>
              <w:t>處</w:t>
            </w:r>
            <w:r>
              <w:rPr>
                <w:rFonts w:ascii="Times New Roman" w:eastAsia="標楷體" w:hAnsi="Times New Roman" w:cs="Times New Roman" w:hint="eastAsia"/>
              </w:rPr>
              <w:t>刊載</w:t>
            </w:r>
            <w:r>
              <w:rPr>
                <w:rFonts w:ascii="Times New Roman" w:eastAsia="標楷體" w:hAnsi="Times New Roman" w:cs="Times New Roman" w:hint="eastAsia"/>
              </w:rPr>
              <w:t>:</w:t>
            </w:r>
            <w:r>
              <w:rPr>
                <w:rFonts w:ascii="新細明體" w:eastAsia="新細明體" w:hAnsi="新細明體" w:cs="Times New Roman" w:hint="eastAsia"/>
              </w:rPr>
              <w:t>「</w:t>
            </w:r>
            <w:r>
              <w:rPr>
                <w:rFonts w:ascii="Times New Roman" w:eastAsia="標楷體" w:hAnsi="Times New Roman" w:cs="Times New Roman" w:hint="eastAsia"/>
              </w:rPr>
              <w:t>肝臟症狀</w:t>
            </w:r>
            <w:r>
              <w:rPr>
                <w:rFonts w:ascii="Times New Roman" w:eastAsia="標楷體" w:hAnsi="Times New Roman" w:cs="Times New Roman" w:hint="eastAsia"/>
              </w:rPr>
              <w:t>:</w:t>
            </w:r>
            <w:r>
              <w:rPr>
                <w:rFonts w:ascii="Times New Roman" w:eastAsia="標楷體" w:hAnsi="Times New Roman" w:cs="Times New Roman" w:hint="eastAsia"/>
              </w:rPr>
              <w:t>在開始以</w:t>
            </w:r>
            <w:r>
              <w:rPr>
                <w:rFonts w:ascii="Times New Roman" w:eastAsia="標楷體" w:hAnsi="Times New Roman" w:cs="Times New Roman" w:hint="eastAsia"/>
              </w:rPr>
              <w:t>amiodarone</w:t>
            </w:r>
            <w:r>
              <w:rPr>
                <w:rFonts w:ascii="Times New Roman" w:eastAsia="標楷體" w:hAnsi="Times New Roman" w:cs="Times New Roman" w:hint="eastAsia"/>
              </w:rPr>
              <w:t>治療時，建議定期監測肝功能，持續治療期間，仍應定期檢測</w:t>
            </w:r>
            <w:r w:rsidR="00D27D49">
              <w:rPr>
                <w:rFonts w:ascii="Times New Roman" w:eastAsia="標楷體" w:hAnsi="Times New Roman" w:cs="Times New Roman" w:hint="eastAsia"/>
              </w:rPr>
              <w:t>。</w:t>
            </w:r>
            <w:r>
              <w:rPr>
                <w:rFonts w:ascii="新細明體" w:eastAsia="新細明體" w:hAnsi="新細明體" w:cs="Times New Roman" w:hint="eastAsia"/>
              </w:rPr>
              <w:t>」</w:t>
            </w:r>
            <w:r w:rsidR="00D27D49">
              <w:rPr>
                <w:rFonts w:ascii="新細明體" w:eastAsia="新細明體" w:hAnsi="新細明體" w:cs="Times New Roman" w:hint="eastAsia"/>
              </w:rPr>
              <w:t>、</w:t>
            </w:r>
            <w:r w:rsidR="00D27D49" w:rsidRPr="00D27D49">
              <w:rPr>
                <w:rFonts w:ascii="Times New Roman" w:eastAsia="標楷體" w:hAnsi="Times New Roman" w:cs="Times New Roman"/>
              </w:rPr>
              <w:t>「</w:t>
            </w:r>
            <w:r w:rsidR="005C5188">
              <w:rPr>
                <w:rFonts w:ascii="Times New Roman" w:eastAsia="標楷體" w:hAnsi="Times New Roman" w:cs="Times New Roman" w:hint="eastAsia"/>
              </w:rPr>
              <w:t>若肝指數超過正常範圍的三倍以上，應降低</w:t>
            </w:r>
            <w:r w:rsidR="005C5188">
              <w:rPr>
                <w:rFonts w:ascii="Times New Roman" w:eastAsia="標楷體" w:hAnsi="Times New Roman" w:cs="Times New Roman" w:hint="eastAsia"/>
              </w:rPr>
              <w:t>amiodarone</w:t>
            </w:r>
            <w:r w:rsidR="005C5188">
              <w:rPr>
                <w:rFonts w:ascii="Times New Roman" w:eastAsia="標楷體" w:hAnsi="Times New Roman" w:cs="Times New Roman" w:hint="eastAsia"/>
              </w:rPr>
              <w:t>的劑量或停藥。</w:t>
            </w:r>
            <w:r w:rsidR="00D27D49" w:rsidRPr="00D27D49">
              <w:rPr>
                <w:rFonts w:ascii="Times New Roman" w:eastAsia="標楷體" w:hAnsi="Times New Roman" w:cs="Times New Roman"/>
              </w:rPr>
              <w:t>口服</w:t>
            </w:r>
            <w:r w:rsidR="00D27D49" w:rsidRPr="00D27D49">
              <w:rPr>
                <w:rFonts w:ascii="Times New Roman" w:eastAsia="標楷體" w:hAnsi="Times New Roman" w:cs="Times New Roman"/>
              </w:rPr>
              <w:t>amiodarone</w:t>
            </w:r>
            <w:r w:rsidR="00D27D49" w:rsidRPr="00D27D49">
              <w:rPr>
                <w:rFonts w:ascii="Times New Roman" w:eastAsia="標楷體" w:hAnsi="Times New Roman" w:cs="Times New Roman"/>
              </w:rPr>
              <w:t>所引起的慢性肝異</w:t>
            </w:r>
            <w:r w:rsidR="00D27D49" w:rsidRPr="00D27D49">
              <w:rPr>
                <w:rFonts w:ascii="Times New Roman" w:eastAsia="標楷體" w:hAnsi="Times New Roman" w:cs="Times New Roman"/>
              </w:rPr>
              <w:lastRenderedPageBreak/>
              <w:t>常，其臨床</w:t>
            </w:r>
            <w:r w:rsidR="00E75F93">
              <w:rPr>
                <w:rFonts w:ascii="Times New Roman" w:eastAsia="標楷體" w:hAnsi="Times New Roman" w:cs="Times New Roman" w:hint="eastAsia"/>
              </w:rPr>
              <w:t>及</w:t>
            </w:r>
            <w:r w:rsidR="00D27D49" w:rsidRPr="00D27D49">
              <w:rPr>
                <w:rFonts w:ascii="Times New Roman" w:eastAsia="標楷體" w:hAnsi="Times New Roman" w:cs="Times New Roman"/>
              </w:rPr>
              <w:t>生化徵兆可能有限，且在停止治療後可能是可恢復的，然而</w:t>
            </w:r>
            <w:r w:rsidR="00E75F93">
              <w:rPr>
                <w:rFonts w:ascii="Times New Roman" w:eastAsia="標楷體" w:hAnsi="Times New Roman" w:cs="Times New Roman" w:hint="eastAsia"/>
              </w:rPr>
              <w:t>仍</w:t>
            </w:r>
            <w:r w:rsidR="00D27D49" w:rsidRPr="00D27D49">
              <w:rPr>
                <w:rFonts w:ascii="Times New Roman" w:eastAsia="標楷體" w:hAnsi="Times New Roman" w:cs="Times New Roman"/>
              </w:rPr>
              <w:t>有致死的病例被報告</w:t>
            </w:r>
            <w:r w:rsidR="00D27D49">
              <w:rPr>
                <w:rFonts w:ascii="Times New Roman" w:eastAsia="標楷體" w:hAnsi="Times New Roman" w:cs="Times New Roman"/>
              </w:rPr>
              <w:t>過</w:t>
            </w:r>
            <w:r w:rsidR="00D27D49">
              <w:rPr>
                <w:rFonts w:ascii="Times New Roman" w:eastAsia="標楷體" w:hAnsi="Times New Roman" w:cs="Times New Roman" w:hint="eastAsia"/>
              </w:rPr>
              <w:t>。</w:t>
            </w:r>
            <w:r w:rsidR="00D27D49" w:rsidRPr="00D27D49">
              <w:rPr>
                <w:rFonts w:ascii="Times New Roman" w:eastAsia="標楷體" w:hAnsi="Times New Roman" w:cs="Times New Roman"/>
              </w:rPr>
              <w:t>」</w:t>
            </w:r>
          </w:p>
          <w:p w:rsidR="00BB5DCC" w:rsidRPr="00497D99" w:rsidRDefault="005C5188" w:rsidP="00BC4EAE">
            <w:pPr>
              <w:pStyle w:val="Web"/>
              <w:numPr>
                <w:ilvl w:val="0"/>
                <w:numId w:val="33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5C5188">
              <w:rPr>
                <w:rFonts w:ascii="Times New Roman" w:eastAsia="標楷體" w:hAnsi="Times New Roman" w:cs="Times New Roman"/>
              </w:rPr>
              <w:t>「</w:t>
            </w:r>
            <w:r w:rsidRPr="00BF1570">
              <w:rPr>
                <w:rFonts w:ascii="Times New Roman" w:eastAsia="標楷體" w:hAnsi="Times New Roman" w:cs="Times New Roman"/>
                <w:u w:val="single"/>
              </w:rPr>
              <w:t>不良反應</w:t>
            </w:r>
            <w:r w:rsidR="00485560">
              <w:rPr>
                <w:rFonts w:ascii="Times New Roman" w:eastAsia="標楷體" w:hAnsi="Times New Roman" w:cs="Times New Roman"/>
              </w:rPr>
              <w:t>」處</w:t>
            </w:r>
            <w:r w:rsidRPr="005C5188">
              <w:rPr>
                <w:rFonts w:ascii="Times New Roman" w:eastAsia="標楷體" w:hAnsi="Times New Roman" w:cs="Times New Roman"/>
              </w:rPr>
              <w:t>刊載</w:t>
            </w:r>
            <w:r w:rsidRPr="005C5188">
              <w:rPr>
                <w:rFonts w:ascii="Times New Roman" w:eastAsia="標楷體" w:hAnsi="Times New Roman" w:cs="Times New Roman"/>
              </w:rPr>
              <w:t>:</w:t>
            </w:r>
            <w:r w:rsidRPr="005C5188">
              <w:rPr>
                <w:rFonts w:ascii="Times New Roman" w:eastAsia="標楷體" w:hAnsi="Times New Roman" w:cs="Times New Roman"/>
              </w:rPr>
              <w:t>「肝膽異常</w:t>
            </w:r>
            <w:r w:rsidRPr="005C5188">
              <w:rPr>
                <w:rFonts w:ascii="Times New Roman" w:eastAsia="標楷體" w:hAnsi="Times New Roman" w:cs="Times New Roman"/>
              </w:rPr>
              <w:t>:</w:t>
            </w:r>
            <w:r w:rsidRPr="005C5188">
              <w:rPr>
                <w:rFonts w:ascii="Times New Roman" w:eastAsia="標楷體" w:hAnsi="Times New Roman" w:cs="Times New Roman"/>
              </w:rPr>
              <w:t>轉胺基酵素單獨中度性升高、急性肝病個案伴隨</w:t>
            </w:r>
            <w:r w:rsidR="005B45D1">
              <w:rPr>
                <w:rFonts w:ascii="Times New Roman" w:eastAsia="標楷體" w:hAnsi="Times New Roman" w:cs="Times New Roman" w:hint="eastAsia"/>
              </w:rPr>
              <w:t>著</w:t>
            </w:r>
            <w:r w:rsidRPr="005C5188">
              <w:rPr>
                <w:rFonts w:ascii="Times New Roman" w:eastAsia="標楷體" w:hAnsi="Times New Roman" w:cs="Times New Roman"/>
              </w:rPr>
              <w:t>轉胺基酵素升高</w:t>
            </w:r>
            <w:r w:rsidR="005B45D1">
              <w:rPr>
                <w:rFonts w:ascii="Times New Roman" w:eastAsia="標楷體" w:hAnsi="Times New Roman" w:cs="Times New Roman" w:hint="eastAsia"/>
              </w:rPr>
              <w:t>及</w:t>
            </w:r>
            <w:r w:rsidR="005B45D1">
              <w:rPr>
                <w:rFonts w:ascii="Times New Roman" w:eastAsia="標楷體" w:hAnsi="Times New Roman" w:cs="Times New Roman" w:hint="eastAsia"/>
              </w:rPr>
              <w:t>/</w:t>
            </w:r>
            <w:r w:rsidR="005B45D1">
              <w:rPr>
                <w:rFonts w:ascii="Times New Roman" w:eastAsia="標楷體" w:hAnsi="Times New Roman" w:cs="Times New Roman" w:hint="eastAsia"/>
              </w:rPr>
              <w:t>或</w:t>
            </w:r>
            <w:r w:rsidRPr="005C5188">
              <w:rPr>
                <w:rFonts w:ascii="Times New Roman" w:eastAsia="標楷體" w:hAnsi="Times New Roman" w:cs="Times New Roman"/>
              </w:rPr>
              <w:t>黃疸</w:t>
            </w:r>
            <w:r>
              <w:rPr>
                <w:rFonts w:ascii="新細明體" w:eastAsia="新細明體" w:hAnsi="新細明體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慢性肝病</w:t>
            </w:r>
            <w:r>
              <w:rPr>
                <w:rFonts w:ascii="Times New Roman" w:eastAsia="標楷體" w:hAnsi="Times New Roman" w:cs="Times New Roman" w:hint="eastAsia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偽酒精性肝炎</w:t>
            </w:r>
            <w:r>
              <w:rPr>
                <w:rFonts w:ascii="新細明體" w:eastAsia="新細明體" w:hAnsi="新細明體" w:cs="Times New Roman" w:hint="eastAsia"/>
              </w:rPr>
              <w:t>、</w:t>
            </w:r>
            <w:r>
              <w:rPr>
                <w:rFonts w:ascii="Times New Roman" w:eastAsia="標楷體" w:hAnsi="Times New Roman" w:cs="Times New Roman" w:hint="eastAsia"/>
              </w:rPr>
              <w:t>肝硬化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  <w:r>
              <w:rPr>
                <w:rFonts w:ascii="Times New Roman" w:eastAsia="標楷體" w:hAnsi="Times New Roman" w:cs="Times New Roman"/>
              </w:rPr>
              <w:t>…</w:t>
            </w:r>
            <w:r>
              <w:rPr>
                <w:rFonts w:ascii="Times New Roman" w:eastAsia="標楷體" w:hAnsi="Times New Roman" w:cs="Times New Roman" w:hint="eastAsia"/>
              </w:rPr>
              <w:t>等相關不良反應</w:t>
            </w:r>
            <w:r w:rsidR="0011595A">
              <w:rPr>
                <w:rFonts w:ascii="Times New Roman" w:eastAsia="標楷體" w:hAnsi="Times New Roman" w:cs="Times New Roman" w:hint="eastAsia"/>
              </w:rPr>
              <w:t>。</w:t>
            </w:r>
            <w:r w:rsidR="003215EC">
              <w:rPr>
                <w:rFonts w:ascii="新細明體" w:eastAsia="新細明體" w:hAnsi="新細明體" w:cs="Times New Roman" w:hint="eastAsia"/>
              </w:rPr>
              <w:t>」</w:t>
            </w:r>
          </w:p>
          <w:p w:rsidR="00497D99" w:rsidRDefault="00497D99" w:rsidP="009A7E22">
            <w:pPr>
              <w:pStyle w:val="Web"/>
              <w:numPr>
                <w:ilvl w:val="0"/>
                <w:numId w:val="32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B34A9E">
              <w:rPr>
                <w:rFonts w:ascii="Times New Roman" w:eastAsia="標楷體" w:hAnsi="Times New Roman" w:cs="Times New Roman"/>
              </w:rPr>
              <w:t>為保障病人用藥安全，本署再次提醒醫療人員</w:t>
            </w:r>
            <w:r w:rsidR="00B34A9E" w:rsidRPr="00B34A9E">
              <w:rPr>
                <w:rFonts w:ascii="Times New Roman" w:eastAsia="標楷體" w:hAnsi="Times New Roman" w:cs="Times New Roman"/>
              </w:rPr>
              <w:t>及民眾注意長期使用</w:t>
            </w:r>
            <w:r w:rsidR="00B34A9E" w:rsidRPr="00B34A9E">
              <w:rPr>
                <w:rFonts w:ascii="Times New Roman" w:eastAsia="標楷體" w:hAnsi="Times New Roman" w:cs="Times New Roman"/>
              </w:rPr>
              <w:t>amiodarone</w:t>
            </w:r>
            <w:r w:rsidR="00B34A9E" w:rsidRPr="00B34A9E">
              <w:rPr>
                <w:rFonts w:ascii="Times New Roman" w:eastAsia="標楷體" w:hAnsi="Times New Roman" w:cs="Times New Roman"/>
              </w:rPr>
              <w:t>口服劑型成分藥品具有潛在慢性肝損傷風險，</w:t>
            </w:r>
            <w:r w:rsidR="00212730">
              <w:rPr>
                <w:rFonts w:ascii="Times New Roman" w:eastAsia="標楷體" w:hAnsi="Times New Roman" w:cs="Times New Roman" w:hint="eastAsia"/>
              </w:rPr>
              <w:t>其肝損傷之潛伏期可能長達數月至數年，故</w:t>
            </w:r>
            <w:r w:rsidR="00B34A9E" w:rsidRPr="00B34A9E">
              <w:rPr>
                <w:rFonts w:ascii="Times New Roman" w:eastAsia="標楷體" w:hAnsi="Times New Roman" w:cs="Times New Roman"/>
              </w:rPr>
              <w:t>應注意相關臨床症狀及定期監測肝功能。</w:t>
            </w:r>
          </w:p>
          <w:p w:rsidR="00B34A9E" w:rsidRDefault="00EB53DA" w:rsidP="00EB53DA">
            <w:pPr>
              <w:pStyle w:val="Web"/>
              <w:numPr>
                <w:ilvl w:val="0"/>
                <w:numId w:val="34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EB53DA" w:rsidRPr="002E35F7" w:rsidRDefault="00EB53DA" w:rsidP="00EB53DA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長期使用</w:t>
            </w:r>
            <w:r w:rsidR="00006BBB">
              <w:rPr>
                <w:rFonts w:ascii="Times New Roman" w:eastAsia="標楷體" w:hAnsi="Times New Roman" w:hint="eastAsia"/>
                <w:bCs/>
                <w:color w:val="000000" w:themeColor="text1"/>
                <w:kern w:val="36"/>
                <w:lang w:bidi="hi-IN"/>
              </w:rPr>
              <w:t>含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a</w:t>
            </w:r>
            <w:r w:rsidRPr="00802AF9">
              <w:rPr>
                <w:rFonts w:ascii="Times New Roman" w:eastAsia="標楷體" w:hAnsi="Times New Roman" w:hint="eastAsia"/>
                <w:color w:val="000000" w:themeColor="text1"/>
              </w:rPr>
              <w:t>miodarone</w:t>
            </w:r>
            <w:r w:rsidR="00006BBB">
              <w:rPr>
                <w:rFonts w:ascii="Times New Roman" w:eastAsia="標楷體" w:hAnsi="Times New Roman" w:hint="eastAsia"/>
                <w:color w:val="000000" w:themeColor="text1"/>
              </w:rPr>
              <w:t>成分</w:t>
            </w:r>
            <w:r w:rsidR="006B6A80">
              <w:rPr>
                <w:rFonts w:ascii="Times New Roman" w:eastAsia="標楷體" w:hAnsi="Times New Roman" w:hint="eastAsia"/>
                <w:color w:val="000000" w:themeColor="text1"/>
              </w:rPr>
              <w:t>口服劑型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藥品</w:t>
            </w:r>
            <w:r w:rsidRPr="00802AF9">
              <w:rPr>
                <w:rFonts w:ascii="Times New Roman" w:eastAsia="標楷體" w:hAnsi="Times New Roman" w:hint="eastAsia"/>
                <w:color w:val="000000" w:themeColor="text1"/>
              </w:rPr>
              <w:t>具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有</w:t>
            </w:r>
            <w:r w:rsidRPr="00802AF9">
              <w:rPr>
                <w:rFonts w:ascii="Times New Roman" w:eastAsia="標楷體" w:hAnsi="Times New Roman" w:hint="eastAsia"/>
                <w:color w:val="000000" w:themeColor="text1"/>
              </w:rPr>
              <w:t>潛在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的慢性肝損傷</w:t>
            </w:r>
            <w:r w:rsidRPr="00802AF9">
              <w:rPr>
                <w:rFonts w:ascii="Times New Roman" w:eastAsia="標楷體" w:hAnsi="Times New Roman" w:hint="eastAsia"/>
                <w:color w:val="000000" w:themeColor="text1"/>
              </w:rPr>
              <w:t>風</w:t>
            </w:r>
            <w:r>
              <w:rPr>
                <w:rFonts w:eastAsia="標楷體" w:hAnsi="標楷體" w:hint="eastAsia"/>
                <w:color w:val="000000" w:themeColor="text1"/>
              </w:rPr>
              <w:t>險，</w:t>
            </w:r>
            <w:r w:rsidR="00454AC3">
              <w:rPr>
                <w:rFonts w:eastAsia="標楷體" w:hAnsi="標楷體" w:hint="eastAsia"/>
              </w:rPr>
              <w:t>而病人可能在用藥</w:t>
            </w:r>
            <w:r w:rsidR="00454AC3">
              <w:rPr>
                <w:rFonts w:ascii="新細明體" w:eastAsia="標楷體" w:hAnsi="Times New Roman" w:cs="新細明體" w:hint="eastAsia"/>
              </w:rPr>
              <w:t>數月甚至長達</w:t>
            </w:r>
            <w:r w:rsidRPr="00D90C82">
              <w:rPr>
                <w:rFonts w:ascii="新細明體" w:eastAsia="標楷體" w:hAnsi="Times New Roman" w:cs="新細明體" w:hint="eastAsia"/>
              </w:rPr>
              <w:t>數年後才出現肝毒性</w:t>
            </w:r>
            <w:r w:rsidR="008F66FC">
              <w:rPr>
                <w:rFonts w:ascii="新細明體" w:eastAsia="標楷體" w:hAnsi="Times New Roman" w:cs="新細明體" w:hint="eastAsia"/>
              </w:rPr>
              <w:t>。</w:t>
            </w:r>
          </w:p>
          <w:p w:rsidR="00EB53DA" w:rsidRPr="00F1529E" w:rsidRDefault="00EB53DA" w:rsidP="00EB53DA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CE70DA">
              <w:rPr>
                <w:rFonts w:eastAsia="標楷體" w:hint="eastAsia"/>
              </w:rPr>
              <w:t>口服</w:t>
            </w:r>
            <w:r w:rsidRPr="00D90C82">
              <w:rPr>
                <w:rFonts w:ascii="Times New Roman" w:eastAsia="標楷體" w:hAnsi="Times New Roman" w:cs="Times New Roman"/>
              </w:rPr>
              <w:t>amiodarone</w:t>
            </w:r>
            <w:r w:rsidRPr="00D90C82">
              <w:rPr>
                <w:rFonts w:ascii="Times New Roman" w:eastAsia="標楷體" w:hAnsi="Times New Roman" w:cs="Times New Roman"/>
              </w:rPr>
              <w:t>所</w:t>
            </w:r>
            <w:r>
              <w:rPr>
                <w:rFonts w:eastAsia="標楷體" w:hint="eastAsia"/>
              </w:rPr>
              <w:t>引起的慢性肝異常，其臨床及生化徵兆可能有限</w:t>
            </w:r>
            <w:r w:rsidRPr="00A71383">
              <w:rPr>
                <w:rFonts w:eastAsia="標楷體" w:hAnsi="標楷體" w:hint="eastAsia"/>
              </w:rPr>
              <w:t>（</w:t>
            </w:r>
            <w:r w:rsidRPr="00A71383">
              <w:rPr>
                <w:rStyle w:val="af2"/>
                <w:rFonts w:ascii="Times New Roman" w:eastAsia="標楷體" w:hAnsi="標楷體" w:cs="Times New Roman" w:hint="eastAsia"/>
                <w:i w:val="0"/>
              </w:rPr>
              <w:t>如</w:t>
            </w:r>
            <w:r w:rsidRPr="00A71383">
              <w:rPr>
                <w:rFonts w:ascii="新細明體" w:eastAsia="標楷體" w:hAnsi="Times New Roman" w:cs="新細明體" w:hint="eastAsia"/>
              </w:rPr>
              <w:t>肝生化值僅輕中度上升</w:t>
            </w:r>
            <w:r w:rsidRPr="00A71383">
              <w:rPr>
                <w:rFonts w:eastAsia="標楷體" w:hAnsi="標楷體" w:hint="eastAsia"/>
              </w:rPr>
              <w:t>），</w:t>
            </w:r>
            <w:r w:rsidR="003647D0">
              <w:rPr>
                <w:rFonts w:eastAsia="標楷體" w:hAnsi="標楷體" w:hint="eastAsia"/>
              </w:rPr>
              <w:t>且在停藥後可能</w:t>
            </w:r>
            <w:bookmarkStart w:id="0" w:name="_GoBack"/>
            <w:bookmarkEnd w:id="0"/>
            <w:r>
              <w:rPr>
                <w:rFonts w:eastAsia="標楷體" w:hAnsi="標楷體" w:hint="eastAsia"/>
              </w:rPr>
              <w:t>是可恢復的，但仍有致死的案例報告。</w:t>
            </w:r>
          </w:p>
          <w:p w:rsidR="00EB53DA" w:rsidRPr="00AD6900" w:rsidRDefault="00EB53DA" w:rsidP="00EB53DA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eastAsia="標楷體" w:hint="eastAsia"/>
              </w:rPr>
              <w:t>於</w:t>
            </w:r>
            <w:r w:rsidRPr="001F3489">
              <w:rPr>
                <w:rFonts w:ascii="Times New Roman" w:eastAsia="標楷體" w:hAnsi="Times New Roman" w:cs="Times New Roman"/>
              </w:rPr>
              <w:t>amiodarone</w:t>
            </w:r>
            <w:r>
              <w:rPr>
                <w:rFonts w:ascii="Times New Roman" w:eastAsia="標楷體" w:hAnsi="Times New Roman" w:cs="Times New Roman" w:hint="eastAsia"/>
              </w:rPr>
              <w:t>起始</w:t>
            </w:r>
            <w:r w:rsidRPr="00A71383">
              <w:rPr>
                <w:rFonts w:eastAsia="標楷體" w:hint="eastAsia"/>
              </w:rPr>
              <w:t>治療時及治療期間，應定期監測肝功能</w:t>
            </w:r>
            <w:r w:rsidRPr="00A71383">
              <w:rPr>
                <w:rFonts w:ascii="新細明體" w:eastAsia="標楷體" w:hAnsi="Times New Roman" w:cs="新細明體" w:hint="eastAsia"/>
              </w:rPr>
              <w:t>，</w:t>
            </w:r>
            <w:r>
              <w:rPr>
                <w:rFonts w:ascii="新細明體" w:eastAsia="標楷體" w:hAnsi="Times New Roman" w:cs="新細明體" w:hint="eastAsia"/>
              </w:rPr>
              <w:t>當肝生化值超過正常值的三倍以上時宜</w:t>
            </w:r>
            <w:r w:rsidR="007F75B4">
              <w:rPr>
                <w:rFonts w:ascii="新細明體" w:eastAsia="標楷體" w:hAnsi="Times New Roman" w:cs="新細明體" w:hint="eastAsia"/>
              </w:rPr>
              <w:t>降低劑量或</w:t>
            </w:r>
            <w:r>
              <w:rPr>
                <w:rFonts w:ascii="新細明體" w:eastAsia="標楷體" w:hAnsi="Times New Roman" w:cs="新細明體" w:hint="eastAsia"/>
              </w:rPr>
              <w:t>考慮停藥</w:t>
            </w:r>
            <w:r w:rsidRPr="00A71383">
              <w:rPr>
                <w:rFonts w:ascii="新細明體" w:eastAsia="標楷體" w:hAnsi="Times New Roman" w:cs="新細明體" w:hint="eastAsia"/>
              </w:rPr>
              <w:t>，必要時可考慮影像學檢</w:t>
            </w:r>
            <w:r w:rsidRPr="00AD6900">
              <w:rPr>
                <w:rFonts w:ascii="Times New Roman" w:eastAsia="標楷體" w:hAnsi="Times New Roman" w:cs="Times New Roman" w:hint="eastAsia"/>
              </w:rPr>
              <w:t>查</w:t>
            </w:r>
            <w:r w:rsidRPr="00AD6900">
              <w:rPr>
                <w:rFonts w:ascii="Times New Roman" w:eastAsia="標楷體" w:hAnsi="Times New Roman" w:cs="Times New Roman"/>
              </w:rPr>
              <w:t>（如</w:t>
            </w:r>
            <w:r w:rsidRPr="00AD6900">
              <w:rPr>
                <w:rFonts w:ascii="Times New Roman" w:eastAsia="標楷體" w:hAnsi="Times New Roman" w:cs="Times New Roman" w:hint="eastAsia"/>
              </w:rPr>
              <w:t>腹部超音波或</w:t>
            </w:r>
            <w:r w:rsidR="00503B11">
              <w:rPr>
                <w:rFonts w:ascii="Times New Roman" w:eastAsia="標楷體" w:hAnsi="Times New Roman" w:cs="Times New Roman" w:hint="eastAsia"/>
              </w:rPr>
              <w:t>上腹</w:t>
            </w:r>
            <w:r w:rsidRPr="00AD6900">
              <w:rPr>
                <w:rFonts w:ascii="Times New Roman" w:eastAsia="標楷體" w:hAnsi="Times New Roman" w:cs="Times New Roman" w:hint="eastAsia"/>
              </w:rPr>
              <w:t>電腦斷層</w:t>
            </w:r>
            <w:r w:rsidRPr="00AD6900">
              <w:rPr>
                <w:rFonts w:ascii="Times New Roman" w:eastAsia="標楷體" w:hAnsi="Times New Roman" w:cs="Times New Roman"/>
              </w:rPr>
              <w:t>）</w:t>
            </w:r>
            <w:r w:rsidRPr="00AD6900">
              <w:rPr>
                <w:rFonts w:ascii="Times New Roman" w:eastAsia="標楷體" w:hAnsi="Times New Roman" w:cs="Times New Roman" w:hint="eastAsia"/>
              </w:rPr>
              <w:t>。</w:t>
            </w:r>
          </w:p>
          <w:p w:rsidR="00EB53DA" w:rsidRPr="00AD6900" w:rsidRDefault="00EB53DA" w:rsidP="00EB53DA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A</w:t>
            </w:r>
            <w:r w:rsidRPr="001F3489">
              <w:rPr>
                <w:rFonts w:ascii="Times New Roman" w:eastAsia="標楷體" w:hAnsi="Times New Roman" w:cs="Times New Roman"/>
              </w:rPr>
              <w:t>miodarone</w:t>
            </w:r>
            <w:r>
              <w:rPr>
                <w:rFonts w:ascii="Times New Roman" w:eastAsia="標楷體" w:hAnsi="Times New Roman" w:cs="Times New Roman" w:hint="eastAsia"/>
              </w:rPr>
              <w:t>之</w:t>
            </w:r>
            <w:r w:rsidR="00D52088">
              <w:rPr>
                <w:rFonts w:ascii="Times New Roman" w:eastAsia="標楷體" w:hAnsi="Times New Roman" w:cs="Times New Roman" w:hint="eastAsia"/>
              </w:rPr>
              <w:t>使用劑量</w:t>
            </w:r>
            <w:r w:rsidRPr="00AD6900">
              <w:rPr>
                <w:rFonts w:ascii="Times New Roman" w:eastAsia="標楷體" w:hAnsi="Times New Roman" w:cs="Times New Roman" w:hint="eastAsia"/>
              </w:rPr>
              <w:t>、併用可能發生交互作用的藥品</w:t>
            </w:r>
            <w:r w:rsidRPr="00AD6900">
              <w:rPr>
                <w:rFonts w:ascii="Times New Roman" w:eastAsia="標楷體" w:hAnsi="Times New Roman" w:cs="Times New Roman" w:hint="eastAsia"/>
              </w:rPr>
              <w:t>/</w:t>
            </w:r>
            <w:r w:rsidRPr="00AD6900">
              <w:rPr>
                <w:rFonts w:ascii="Times New Roman" w:eastAsia="標楷體" w:hAnsi="Times New Roman" w:cs="Times New Roman" w:hint="eastAsia"/>
              </w:rPr>
              <w:t>食物</w:t>
            </w:r>
            <w:r w:rsidRPr="00AD6900">
              <w:rPr>
                <w:rFonts w:ascii="Times New Roman" w:eastAsia="標楷體" w:hAnsi="Times New Roman" w:cs="Times New Roman"/>
              </w:rPr>
              <w:t>（如</w:t>
            </w:r>
            <w:r w:rsidRPr="00AD6900">
              <w:rPr>
                <w:rFonts w:ascii="Times New Roman" w:eastAsia="標楷體" w:hAnsi="Times New Roman" w:cs="Times New Roman" w:hint="eastAsia"/>
              </w:rPr>
              <w:t>CYP</w:t>
            </w:r>
            <w:r w:rsidRPr="00AD6900">
              <w:rPr>
                <w:rFonts w:ascii="Times New Roman" w:eastAsia="標楷體" w:hAnsi="Times New Roman" w:cs="Times New Roman"/>
              </w:rPr>
              <w:t>3A4</w:t>
            </w:r>
            <w:r w:rsidRPr="00AD6900">
              <w:rPr>
                <w:rFonts w:ascii="Times New Roman" w:eastAsia="標楷體" w:hAnsi="Times New Roman" w:cs="Times New Roman" w:hint="eastAsia"/>
              </w:rPr>
              <w:t>抑制劑、葡萄柚汁</w:t>
            </w:r>
            <w:r w:rsidRPr="00AD6900">
              <w:rPr>
                <w:rFonts w:ascii="Times New Roman" w:eastAsia="標楷體" w:hAnsi="Times New Roman" w:cs="Times New Roman"/>
              </w:rPr>
              <w:t>等）</w:t>
            </w:r>
            <w:r w:rsidRPr="00AD6900">
              <w:rPr>
                <w:rFonts w:ascii="Times New Roman" w:eastAsia="標楷體" w:hAnsi="Times New Roman" w:cs="Times New Roman" w:hint="eastAsia"/>
              </w:rPr>
              <w:t>、肝臟疾病病史</w:t>
            </w:r>
            <w:r>
              <w:rPr>
                <w:rFonts w:ascii="Times New Roman" w:eastAsia="標楷體" w:hAnsi="Times New Roman" w:cs="Times New Roman" w:hint="eastAsia"/>
              </w:rPr>
              <w:t>及肝臟相關疾患之</w:t>
            </w:r>
            <w:r w:rsidRPr="00AD6900">
              <w:rPr>
                <w:rFonts w:ascii="Times New Roman" w:eastAsia="標楷體" w:hAnsi="Times New Roman" w:cs="Times New Roman" w:hint="eastAsia"/>
              </w:rPr>
              <w:t>共病症等皆為增加</w:t>
            </w:r>
            <w:r w:rsidRPr="00AD6900">
              <w:rPr>
                <w:rFonts w:ascii="Times New Roman" w:eastAsia="標楷體" w:hAnsi="Times New Roman" w:cs="Times New Roman"/>
              </w:rPr>
              <w:t>amiodarone</w:t>
            </w:r>
            <w:r w:rsidR="005C1AD6">
              <w:rPr>
                <w:rFonts w:ascii="Times New Roman" w:eastAsia="標楷體" w:hAnsi="Times New Roman" w:cs="Times New Roman" w:hint="eastAsia"/>
              </w:rPr>
              <w:t>引起肝毒性的危險</w:t>
            </w:r>
            <w:r w:rsidRPr="00AD6900">
              <w:rPr>
                <w:rFonts w:ascii="Times New Roman" w:eastAsia="標楷體" w:hAnsi="Times New Roman" w:cs="Times New Roman" w:hint="eastAsia"/>
              </w:rPr>
              <w:t>因子。使用</w:t>
            </w:r>
            <w:r w:rsidR="007839F3">
              <w:rPr>
                <w:rFonts w:ascii="Times New Roman" w:eastAsia="標楷體" w:hAnsi="Times New Roman" w:cs="Times New Roman" w:hint="eastAsia"/>
              </w:rPr>
              <w:t>含</w:t>
            </w:r>
            <w:r w:rsidRPr="00AD6900">
              <w:rPr>
                <w:rFonts w:ascii="Times New Roman" w:eastAsia="標楷體" w:hAnsi="Times New Roman" w:cs="Times New Roman"/>
              </w:rPr>
              <w:t>amiodarone</w:t>
            </w:r>
            <w:r w:rsidRPr="00AD6900">
              <w:rPr>
                <w:rFonts w:ascii="Times New Roman" w:eastAsia="標楷體" w:hAnsi="Times New Roman" w:cs="Times New Roman" w:hint="eastAsia"/>
              </w:rPr>
              <w:t>成分</w:t>
            </w:r>
            <w:r w:rsidR="007839F3">
              <w:rPr>
                <w:rFonts w:ascii="Times New Roman" w:eastAsia="標楷體" w:hAnsi="Times New Roman" w:cs="Times New Roman" w:hint="eastAsia"/>
              </w:rPr>
              <w:t>口服劑型</w:t>
            </w:r>
            <w:r w:rsidRPr="00AD6900">
              <w:rPr>
                <w:rFonts w:ascii="Times New Roman" w:eastAsia="標楷體" w:hAnsi="Times New Roman" w:cs="Times New Roman" w:hint="eastAsia"/>
              </w:rPr>
              <w:t>藥品於高風險族群時，應更謹慎評估其使用劑量及治療時程，建議採用最低有效劑量，並提醒病人應定期回診進行肝功能檢查。</w:t>
            </w:r>
          </w:p>
          <w:p w:rsidR="00EB53DA" w:rsidRDefault="00EB53DA" w:rsidP="00EB53DA">
            <w:pPr>
              <w:pStyle w:val="Web"/>
              <w:numPr>
                <w:ilvl w:val="0"/>
                <w:numId w:val="28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A71383">
              <w:rPr>
                <w:rFonts w:ascii="Times New Roman" w:eastAsia="標楷體" w:hAnsi="Times New Roman" w:cs="Times New Roman" w:hint="eastAsia"/>
                <w:kern w:val="2"/>
              </w:rPr>
              <w:t>應留意病人於用藥期間是否出現肝損傷之相關症狀或徵兆，若有任何異常應考慮降低劑量或停藥，並告知病人若出現肝損傷相關症狀應立即回診。</w:t>
            </w:r>
          </w:p>
          <w:p w:rsidR="00B54D1A" w:rsidRDefault="003922C9" w:rsidP="00B54D1A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標楷體" w:eastAsia="標楷體" w:hAnsi="標楷體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D63CDD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D63CDD">
              <w:rPr>
                <w:rFonts w:ascii="Times New Roman" w:eastAsia="標楷體" w:hAnsi="Times New Roman" w:cs="Times New Roman"/>
              </w:rPr>
              <w:t>：</w:t>
            </w:r>
          </w:p>
          <w:p w:rsidR="00B54D1A" w:rsidRDefault="003922C9" w:rsidP="00B54D1A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3922C9">
              <w:rPr>
                <w:rFonts w:ascii="Times New Roman" w:eastAsia="標楷體" w:hAnsi="Times New Roman" w:hint="eastAsia"/>
              </w:rPr>
              <w:t>曾有長期</w:t>
            </w:r>
            <w:r w:rsidR="005C1AD6">
              <w:rPr>
                <w:rFonts w:ascii="Times New Roman" w:eastAsia="標楷體" w:hAnsi="Times New Roman" w:hint="eastAsia"/>
              </w:rPr>
              <w:t>使用</w:t>
            </w:r>
            <w:r w:rsidR="007839F3">
              <w:rPr>
                <w:rFonts w:ascii="Times New Roman" w:eastAsia="標楷體" w:hAnsi="Times New Roman" w:hint="eastAsia"/>
              </w:rPr>
              <w:t>含</w:t>
            </w:r>
            <w:r w:rsidRPr="003922C9">
              <w:rPr>
                <w:rFonts w:ascii="Times New Roman" w:eastAsia="標楷體" w:hAnsi="Times New Roman"/>
              </w:rPr>
              <w:t>amiodarone</w:t>
            </w:r>
            <w:r w:rsidR="007839F3">
              <w:rPr>
                <w:rFonts w:ascii="Times New Roman" w:eastAsia="標楷體" w:hAnsi="Times New Roman" w:hint="eastAsia"/>
              </w:rPr>
              <w:t>成分</w:t>
            </w:r>
            <w:r w:rsidR="005C1AD6" w:rsidRPr="003922C9">
              <w:rPr>
                <w:rFonts w:ascii="Times New Roman" w:eastAsia="標楷體" w:hAnsi="Times New Roman" w:hint="eastAsia"/>
              </w:rPr>
              <w:t>口服</w:t>
            </w:r>
            <w:r w:rsidR="005C1AD6">
              <w:rPr>
                <w:rFonts w:ascii="Times New Roman" w:eastAsia="標楷體" w:hAnsi="Times New Roman" w:hint="eastAsia"/>
              </w:rPr>
              <w:t>劑型</w:t>
            </w:r>
            <w:r w:rsidRPr="003922C9">
              <w:rPr>
                <w:rFonts w:ascii="Times New Roman" w:eastAsia="標楷體" w:hAnsi="Times New Roman" w:hint="eastAsia"/>
              </w:rPr>
              <w:t>藥品後發生肝損傷</w:t>
            </w:r>
            <w:r w:rsidRPr="003922C9">
              <w:rPr>
                <w:rFonts w:ascii="Times New Roman" w:eastAsia="標楷體" w:hAnsi="Times New Roman" w:hint="eastAsia"/>
                <w:bCs/>
              </w:rPr>
              <w:t>的通報案例。</w:t>
            </w:r>
            <w:r w:rsidRPr="003922C9">
              <w:rPr>
                <w:rFonts w:ascii="Times New Roman" w:eastAsia="標楷體" w:hAnsi="Times New Roman"/>
              </w:rPr>
              <w:t>使用</w:t>
            </w:r>
            <w:r w:rsidR="00222488">
              <w:rPr>
                <w:rFonts w:ascii="Times New Roman" w:eastAsia="標楷體" w:hAnsi="Times New Roman" w:hint="eastAsia"/>
              </w:rPr>
              <w:t>該成分</w:t>
            </w:r>
            <w:r w:rsidR="005C1AD6" w:rsidRPr="003922C9">
              <w:rPr>
                <w:rFonts w:ascii="Times New Roman" w:eastAsia="標楷體" w:hAnsi="Times New Roman" w:hint="eastAsia"/>
              </w:rPr>
              <w:t>口服</w:t>
            </w:r>
            <w:r w:rsidR="005C1AD6">
              <w:rPr>
                <w:rFonts w:ascii="Times New Roman" w:eastAsia="標楷體" w:hAnsi="Times New Roman" w:hint="eastAsia"/>
              </w:rPr>
              <w:t>劑型</w:t>
            </w:r>
            <w:r w:rsidRPr="003922C9">
              <w:rPr>
                <w:rFonts w:ascii="Times New Roman" w:eastAsia="標楷體" w:hAnsi="Times New Roman"/>
              </w:rPr>
              <w:t>藥品前，若您有肝</w:t>
            </w:r>
            <w:r w:rsidRPr="003922C9">
              <w:rPr>
                <w:rFonts w:ascii="Times New Roman" w:eastAsia="標楷體" w:hAnsi="Times New Roman" w:hint="eastAsia"/>
              </w:rPr>
              <w:t>膽方面</w:t>
            </w:r>
            <w:r w:rsidRPr="003922C9">
              <w:rPr>
                <w:rFonts w:ascii="Times New Roman" w:eastAsia="標楷體" w:hAnsi="Times New Roman"/>
              </w:rPr>
              <w:t>的問題，或正在使用其他藥品，請主動告知</w:t>
            </w:r>
            <w:r w:rsidRPr="003922C9">
              <w:rPr>
                <w:rFonts w:ascii="Times New Roman" w:eastAsia="標楷體" w:hAnsi="Times New Roman" w:hint="eastAsia"/>
              </w:rPr>
              <w:t>處方醫師</w:t>
            </w:r>
            <w:r w:rsidRPr="003922C9">
              <w:rPr>
                <w:rFonts w:ascii="Times New Roman" w:eastAsia="標楷體" w:hAnsi="Times New Roman"/>
              </w:rPr>
              <w:t>。</w:t>
            </w:r>
          </w:p>
          <w:p w:rsidR="00B54D1A" w:rsidRDefault="003922C9" w:rsidP="00B54D1A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3922C9">
              <w:rPr>
                <w:rFonts w:ascii="Times New Roman" w:eastAsia="標楷體" w:hAnsi="Times New Roman" w:hint="eastAsia"/>
                <w:bCs/>
              </w:rPr>
              <w:t>若您於用藥期間出現任何肝損傷相關症狀，如噁心嘔吐、</w:t>
            </w:r>
            <w:r w:rsidRPr="003922C9">
              <w:rPr>
                <w:rFonts w:ascii="Times New Roman" w:eastAsia="標楷體" w:hAnsi="Times New Roman"/>
              </w:rPr>
              <w:t>皮膚變黃、食慾不佳</w:t>
            </w:r>
            <w:r w:rsidRPr="003922C9">
              <w:rPr>
                <w:rFonts w:ascii="Times New Roman" w:eastAsia="標楷體" w:hAnsi="Times New Roman" w:hint="eastAsia"/>
              </w:rPr>
              <w:t>、上腹不適</w:t>
            </w:r>
            <w:r w:rsidRPr="003922C9">
              <w:rPr>
                <w:rFonts w:ascii="Times New Roman" w:eastAsia="標楷體" w:hAnsi="Times New Roman"/>
              </w:rPr>
              <w:t>、茶色尿</w:t>
            </w:r>
            <w:r w:rsidRPr="003922C9">
              <w:rPr>
                <w:rFonts w:ascii="Times New Roman" w:eastAsia="標楷體" w:hAnsi="Times New Roman" w:hint="eastAsia"/>
              </w:rPr>
              <w:t>等</w:t>
            </w:r>
            <w:r w:rsidRPr="003922C9">
              <w:rPr>
                <w:rFonts w:ascii="Times New Roman" w:eastAsia="標楷體" w:hAnsi="Times New Roman"/>
              </w:rPr>
              <w:t>，應</w:t>
            </w:r>
            <w:r w:rsidRPr="003922C9">
              <w:rPr>
                <w:rFonts w:ascii="Times New Roman" w:eastAsia="標楷體" w:hAnsi="Times New Roman" w:hint="eastAsia"/>
              </w:rPr>
              <w:t>儘</w:t>
            </w:r>
            <w:r w:rsidRPr="003922C9">
              <w:rPr>
                <w:rFonts w:ascii="Times New Roman" w:eastAsia="標楷體" w:hAnsi="Times New Roman"/>
              </w:rPr>
              <w:t>速就醫</w:t>
            </w:r>
            <w:r w:rsidRPr="003922C9">
              <w:rPr>
                <w:rFonts w:ascii="Times New Roman" w:eastAsia="標楷體" w:hAnsi="Times New Roman" w:hint="eastAsia"/>
              </w:rPr>
              <w:t>；</w:t>
            </w:r>
            <w:r w:rsidRPr="003922C9">
              <w:rPr>
                <w:rFonts w:ascii="Times New Roman" w:eastAsia="標楷體" w:hAnsi="Times New Roman"/>
              </w:rPr>
              <w:t>若有任何其他不適症狀，請諮詢醫療人員</w:t>
            </w:r>
            <w:r w:rsidRPr="003922C9">
              <w:rPr>
                <w:rFonts w:ascii="Times New Roman" w:eastAsia="標楷體" w:hAnsi="Times New Roman" w:hint="eastAsia"/>
                <w:bCs/>
              </w:rPr>
              <w:t>。</w:t>
            </w:r>
          </w:p>
          <w:p w:rsidR="003922C9" w:rsidRPr="006164BB" w:rsidRDefault="003922C9" w:rsidP="00B54D1A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3922C9">
              <w:rPr>
                <w:rFonts w:ascii="Times New Roman" w:eastAsia="標楷體" w:hAnsi="Times New Roman" w:hint="eastAsia"/>
              </w:rPr>
              <w:lastRenderedPageBreak/>
              <w:t>若對於藥品有任何的疑問或疑慮，請諮詢醫療人員。</w:t>
            </w:r>
          </w:p>
          <w:p w:rsidR="006164BB" w:rsidRPr="00B54D1A" w:rsidRDefault="006164BB" w:rsidP="006164BB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</w:p>
          <w:p w:rsidR="00B34A9E" w:rsidRPr="000549C6" w:rsidRDefault="009E51D0" w:rsidP="00B34A9E">
            <w:pPr>
              <w:pStyle w:val="Web"/>
              <w:numPr>
                <w:ilvl w:val="0"/>
                <w:numId w:val="34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9E51D0">
              <w:rPr>
                <w:rFonts w:ascii="Times New Roman" w:eastAsia="標楷體" w:hAnsi="Times New Roman" w:cs="Times New Roman" w:hint="eastAsia"/>
              </w:rPr>
              <w:t>醫療人員或病人懷疑因為使用（服用）藥品導致不良反應發生時，請立即通報給衛生福利部所建置之全國藥物不良反應通報中心，並副知所屬廠商，藥物不良反應通報專線</w:t>
            </w:r>
            <w:r w:rsidRPr="009E51D0">
              <w:rPr>
                <w:rFonts w:ascii="Times New Roman" w:eastAsia="標楷體" w:hAnsi="Times New Roman" w:cs="Times New Roman"/>
              </w:rPr>
              <w:t>02-2396-0100</w:t>
            </w:r>
            <w:r w:rsidRPr="009E51D0">
              <w:rPr>
                <w:rFonts w:ascii="Times New Roman" w:eastAsia="標楷體" w:hAnsi="Times New Roman" w:cs="Times New Roman" w:hint="eastAsia"/>
              </w:rPr>
              <w:t>，網站：</w:t>
            </w:r>
            <w:r w:rsidRPr="009E51D0">
              <w:rPr>
                <w:rFonts w:ascii="Times New Roman" w:eastAsia="標楷體" w:hAnsi="Times New Roman" w:cs="Times New Roman"/>
              </w:rPr>
              <w:t>https://adr.fda.gov.tw</w:t>
            </w:r>
            <w:r w:rsidRPr="009E51D0">
              <w:rPr>
                <w:rFonts w:ascii="Times New Roman" w:eastAsia="標楷體" w:hAnsi="Times New Roman" w:cs="Times New Roman" w:hint="eastAsia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</w:tr>
    </w:tbl>
    <w:p w:rsidR="00ED3FC5" w:rsidRDefault="00ED3FC5">
      <w:pPr>
        <w:widowControl/>
      </w:pPr>
    </w:p>
    <w:p w:rsidR="006C44E4" w:rsidRDefault="006C44E4" w:rsidP="006C44E4">
      <w:pPr>
        <w:widowControl/>
      </w:pPr>
    </w:p>
    <w:sectPr w:rsidR="006C44E4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629F" w:rsidRDefault="00C7629F" w:rsidP="003B56BC">
      <w:r>
        <w:separator/>
      </w:r>
    </w:p>
  </w:endnote>
  <w:endnote w:type="continuationSeparator" w:id="0">
    <w:p w:rsidR="00C7629F" w:rsidRDefault="00C7629F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altName w:val="宋体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629F" w:rsidRDefault="00C7629F" w:rsidP="003B56BC">
      <w:r>
        <w:separator/>
      </w:r>
    </w:p>
  </w:footnote>
  <w:footnote w:type="continuationSeparator" w:id="0">
    <w:p w:rsidR="00C7629F" w:rsidRDefault="00C7629F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771"/>
        </w:tabs>
        <w:ind w:left="771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865"/>
        </w:tabs>
        <w:ind w:left="1865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1386"/>
        </w:tabs>
        <w:ind w:left="1386" w:hanging="360"/>
      </w:pPr>
    </w:lvl>
    <w:lvl w:ilvl="3" w:tplc="04090001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  <w:rPr>
        <w:rFonts w:cs="Times New Roman"/>
      </w:rPr>
    </w:lvl>
  </w:abstractNum>
  <w:abstractNum w:abstractNumId="1" w15:restartNumberingAfterBreak="0">
    <w:nsid w:val="0B22510C"/>
    <w:multiLevelType w:val="hybridMultilevel"/>
    <w:tmpl w:val="2D2AFE80"/>
    <w:lvl w:ilvl="0" w:tplc="9B823222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4912E95"/>
    <w:multiLevelType w:val="hybridMultilevel"/>
    <w:tmpl w:val="BAF85C22"/>
    <w:lvl w:ilvl="0" w:tplc="0409000F">
      <w:start w:val="1"/>
      <w:numFmt w:val="decimal"/>
      <w:lvlText w:val="%1."/>
      <w:lvlJc w:val="left"/>
      <w:pPr>
        <w:tabs>
          <w:tab w:val="num" w:pos="346"/>
        </w:tabs>
        <w:ind w:left="346" w:hanging="360"/>
      </w:pPr>
      <w:rPr>
        <w:rFonts w:hint="default"/>
        <w:lang w:val="en-US"/>
      </w:rPr>
    </w:lvl>
    <w:lvl w:ilvl="1" w:tplc="92D8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ECE38E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179724CB"/>
    <w:multiLevelType w:val="hybridMultilevel"/>
    <w:tmpl w:val="C22ED18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CE3416A"/>
    <w:multiLevelType w:val="hybridMultilevel"/>
    <w:tmpl w:val="2490F78E"/>
    <w:lvl w:ilvl="0" w:tplc="61D47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092F7A"/>
    <w:multiLevelType w:val="hybridMultilevel"/>
    <w:tmpl w:val="FFA88F82"/>
    <w:lvl w:ilvl="0" w:tplc="F8989F2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FD66676"/>
    <w:multiLevelType w:val="hybridMultilevel"/>
    <w:tmpl w:val="2AFA2DEC"/>
    <w:lvl w:ilvl="0" w:tplc="BFD2812C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2FF92A80"/>
    <w:multiLevelType w:val="hybridMultilevel"/>
    <w:tmpl w:val="71C86A62"/>
    <w:lvl w:ilvl="0" w:tplc="D5D608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7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9" w15:restartNumberingAfterBreak="0">
    <w:nsid w:val="4554780C"/>
    <w:multiLevelType w:val="hybridMultilevel"/>
    <w:tmpl w:val="67BE4274"/>
    <w:lvl w:ilvl="0" w:tplc="45AC3A22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A4A2E9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9DF13B9"/>
    <w:multiLevelType w:val="hybridMultilevel"/>
    <w:tmpl w:val="BAF85C22"/>
    <w:lvl w:ilvl="0" w:tplc="0409000F">
      <w:start w:val="1"/>
      <w:numFmt w:val="decimal"/>
      <w:lvlText w:val="%1."/>
      <w:lvlJc w:val="left"/>
      <w:pPr>
        <w:tabs>
          <w:tab w:val="num" w:pos="346"/>
        </w:tabs>
        <w:ind w:left="346" w:hanging="360"/>
      </w:pPr>
      <w:rPr>
        <w:rFonts w:hint="default"/>
        <w:lang w:val="en-US"/>
      </w:rPr>
    </w:lvl>
    <w:lvl w:ilvl="1" w:tplc="92D8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5ECE38E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74D3E9F"/>
    <w:multiLevelType w:val="hybridMultilevel"/>
    <w:tmpl w:val="66707656"/>
    <w:lvl w:ilvl="0" w:tplc="61C400BC">
      <w:start w:val="1"/>
      <w:numFmt w:val="taiwaneseCountingThousand"/>
      <w:lvlText w:val="(%1)"/>
      <w:lvlJc w:val="left"/>
      <w:pPr>
        <w:ind w:left="1149" w:hanging="480"/>
      </w:pPr>
      <w:rPr>
        <w:rFonts w:ascii="Times New Roman" w:eastAsia="標楷體" w:hAnsi="Times New Roman" w:cs="Times New Roman"/>
        <w:lang w:val="pt-BR"/>
      </w:rPr>
    </w:lvl>
    <w:lvl w:ilvl="1" w:tplc="56F678FC">
      <w:start w:val="1"/>
      <w:numFmt w:val="decimal"/>
      <w:lvlText w:val="%2."/>
      <w:lvlJc w:val="left"/>
      <w:pPr>
        <w:ind w:left="1509" w:hanging="36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2109" w:hanging="480"/>
      </w:pPr>
    </w:lvl>
    <w:lvl w:ilvl="3" w:tplc="0409000F" w:tentative="1">
      <w:start w:val="1"/>
      <w:numFmt w:val="decimal"/>
      <w:lvlText w:val="%4."/>
      <w:lvlJc w:val="left"/>
      <w:pPr>
        <w:ind w:left="25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9" w:hanging="480"/>
      </w:pPr>
    </w:lvl>
    <w:lvl w:ilvl="5" w:tplc="0409001B" w:tentative="1">
      <w:start w:val="1"/>
      <w:numFmt w:val="lowerRoman"/>
      <w:lvlText w:val="%6."/>
      <w:lvlJc w:val="right"/>
      <w:pPr>
        <w:ind w:left="3549" w:hanging="480"/>
      </w:pPr>
    </w:lvl>
    <w:lvl w:ilvl="6" w:tplc="0409000F" w:tentative="1">
      <w:start w:val="1"/>
      <w:numFmt w:val="decimal"/>
      <w:lvlText w:val="%7."/>
      <w:lvlJc w:val="left"/>
      <w:pPr>
        <w:ind w:left="40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9" w:hanging="480"/>
      </w:pPr>
    </w:lvl>
    <w:lvl w:ilvl="8" w:tplc="0409001B" w:tentative="1">
      <w:start w:val="1"/>
      <w:numFmt w:val="lowerRoman"/>
      <w:lvlText w:val="%9."/>
      <w:lvlJc w:val="right"/>
      <w:pPr>
        <w:ind w:left="4989" w:hanging="480"/>
      </w:pPr>
    </w:lvl>
  </w:abstractNum>
  <w:abstractNum w:abstractNumId="29" w15:restartNumberingAfterBreak="0">
    <w:nsid w:val="6C474086"/>
    <w:multiLevelType w:val="hybridMultilevel"/>
    <w:tmpl w:val="0602E48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6E1A294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2323058"/>
    <w:multiLevelType w:val="hybridMultilevel"/>
    <w:tmpl w:val="B81EE94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2"/>
  </w:num>
  <w:num w:numId="3">
    <w:abstractNumId w:val="20"/>
  </w:num>
  <w:num w:numId="4">
    <w:abstractNumId w:val="15"/>
  </w:num>
  <w:num w:numId="5">
    <w:abstractNumId w:val="25"/>
  </w:num>
  <w:num w:numId="6">
    <w:abstractNumId w:val="22"/>
  </w:num>
  <w:num w:numId="7">
    <w:abstractNumId w:val="31"/>
  </w:num>
  <w:num w:numId="8">
    <w:abstractNumId w:val="3"/>
  </w:num>
  <w:num w:numId="9">
    <w:abstractNumId w:val="18"/>
  </w:num>
  <w:num w:numId="10">
    <w:abstractNumId w:val="7"/>
  </w:num>
  <w:num w:numId="11">
    <w:abstractNumId w:val="16"/>
  </w:num>
  <w:num w:numId="12">
    <w:abstractNumId w:val="23"/>
  </w:num>
  <w:num w:numId="13">
    <w:abstractNumId w:val="17"/>
  </w:num>
  <w:num w:numId="14">
    <w:abstractNumId w:val="5"/>
  </w:num>
  <w:num w:numId="15">
    <w:abstractNumId w:val="2"/>
  </w:num>
  <w:num w:numId="16">
    <w:abstractNumId w:val="8"/>
  </w:num>
  <w:num w:numId="17">
    <w:abstractNumId w:val="10"/>
  </w:num>
  <w:num w:numId="18">
    <w:abstractNumId w:val="27"/>
  </w:num>
  <w:num w:numId="19">
    <w:abstractNumId w:val="9"/>
  </w:num>
  <w:num w:numId="20">
    <w:abstractNumId w:val="34"/>
  </w:num>
  <w:num w:numId="21">
    <w:abstractNumId w:val="26"/>
  </w:num>
  <w:num w:numId="22">
    <w:abstractNumId w:val="6"/>
  </w:num>
  <w:num w:numId="23">
    <w:abstractNumId w:val="12"/>
  </w:num>
  <w:num w:numId="24">
    <w:abstractNumId w:val="11"/>
  </w:num>
  <w:num w:numId="25">
    <w:abstractNumId w:val="14"/>
  </w:num>
  <w:num w:numId="26">
    <w:abstractNumId w:val="28"/>
  </w:num>
  <w:num w:numId="27">
    <w:abstractNumId w:val="1"/>
  </w:num>
  <w:num w:numId="28">
    <w:abstractNumId w:val="30"/>
  </w:num>
  <w:num w:numId="29">
    <w:abstractNumId w:val="21"/>
  </w:num>
  <w:num w:numId="30">
    <w:abstractNumId w:val="24"/>
  </w:num>
  <w:num w:numId="31">
    <w:abstractNumId w:val="4"/>
  </w:num>
  <w:num w:numId="32">
    <w:abstractNumId w:val="29"/>
  </w:num>
  <w:num w:numId="33">
    <w:abstractNumId w:val="19"/>
  </w:num>
  <w:num w:numId="34">
    <w:abstractNumId w:val="13"/>
  </w:num>
  <w:num w:numId="35">
    <w:abstractNumId w:val="3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741"/>
    <w:rsid w:val="0000085B"/>
    <w:rsid w:val="00000E9D"/>
    <w:rsid w:val="00001FD1"/>
    <w:rsid w:val="000042E9"/>
    <w:rsid w:val="0000533D"/>
    <w:rsid w:val="00005C49"/>
    <w:rsid w:val="00006BBB"/>
    <w:rsid w:val="0000743C"/>
    <w:rsid w:val="00011906"/>
    <w:rsid w:val="0001247F"/>
    <w:rsid w:val="00012536"/>
    <w:rsid w:val="00014990"/>
    <w:rsid w:val="00014F47"/>
    <w:rsid w:val="00015040"/>
    <w:rsid w:val="00015666"/>
    <w:rsid w:val="0001599E"/>
    <w:rsid w:val="0001696E"/>
    <w:rsid w:val="00017171"/>
    <w:rsid w:val="00017AD6"/>
    <w:rsid w:val="00021108"/>
    <w:rsid w:val="00024566"/>
    <w:rsid w:val="00024D95"/>
    <w:rsid w:val="00025423"/>
    <w:rsid w:val="00032A84"/>
    <w:rsid w:val="00033C23"/>
    <w:rsid w:val="0003449A"/>
    <w:rsid w:val="00034AAD"/>
    <w:rsid w:val="000360F2"/>
    <w:rsid w:val="000362D2"/>
    <w:rsid w:val="00040D39"/>
    <w:rsid w:val="000417A7"/>
    <w:rsid w:val="0004206A"/>
    <w:rsid w:val="0004233F"/>
    <w:rsid w:val="00042AB2"/>
    <w:rsid w:val="000445A1"/>
    <w:rsid w:val="00044F4B"/>
    <w:rsid w:val="0004625C"/>
    <w:rsid w:val="000464DC"/>
    <w:rsid w:val="00046859"/>
    <w:rsid w:val="00047368"/>
    <w:rsid w:val="00050279"/>
    <w:rsid w:val="00050BA6"/>
    <w:rsid w:val="00052487"/>
    <w:rsid w:val="00053A95"/>
    <w:rsid w:val="000549C6"/>
    <w:rsid w:val="000564A7"/>
    <w:rsid w:val="00056F8F"/>
    <w:rsid w:val="00057243"/>
    <w:rsid w:val="00057BAD"/>
    <w:rsid w:val="00060CFC"/>
    <w:rsid w:val="0006115A"/>
    <w:rsid w:val="00061CC7"/>
    <w:rsid w:val="00063573"/>
    <w:rsid w:val="0006398A"/>
    <w:rsid w:val="00065F8B"/>
    <w:rsid w:val="000705C6"/>
    <w:rsid w:val="00070D59"/>
    <w:rsid w:val="000710A8"/>
    <w:rsid w:val="0007146D"/>
    <w:rsid w:val="00072239"/>
    <w:rsid w:val="00074D56"/>
    <w:rsid w:val="00076C07"/>
    <w:rsid w:val="000774C0"/>
    <w:rsid w:val="00077938"/>
    <w:rsid w:val="00077EC3"/>
    <w:rsid w:val="00080499"/>
    <w:rsid w:val="000810B0"/>
    <w:rsid w:val="000820FB"/>
    <w:rsid w:val="000841D6"/>
    <w:rsid w:val="00091D64"/>
    <w:rsid w:val="000926E5"/>
    <w:rsid w:val="00093776"/>
    <w:rsid w:val="0009412B"/>
    <w:rsid w:val="00096F70"/>
    <w:rsid w:val="00097636"/>
    <w:rsid w:val="00097928"/>
    <w:rsid w:val="000A04E5"/>
    <w:rsid w:val="000A0803"/>
    <w:rsid w:val="000A1436"/>
    <w:rsid w:val="000A3189"/>
    <w:rsid w:val="000A3E05"/>
    <w:rsid w:val="000A3F20"/>
    <w:rsid w:val="000A72BC"/>
    <w:rsid w:val="000B1861"/>
    <w:rsid w:val="000B1B19"/>
    <w:rsid w:val="000B2A54"/>
    <w:rsid w:val="000B4EA0"/>
    <w:rsid w:val="000B50D5"/>
    <w:rsid w:val="000B5587"/>
    <w:rsid w:val="000B65E8"/>
    <w:rsid w:val="000B7944"/>
    <w:rsid w:val="000C168C"/>
    <w:rsid w:val="000C1BB2"/>
    <w:rsid w:val="000C4E72"/>
    <w:rsid w:val="000C4EF5"/>
    <w:rsid w:val="000C705F"/>
    <w:rsid w:val="000C78BC"/>
    <w:rsid w:val="000D0FB2"/>
    <w:rsid w:val="000D3D55"/>
    <w:rsid w:val="000D575A"/>
    <w:rsid w:val="000D5C02"/>
    <w:rsid w:val="000D5D69"/>
    <w:rsid w:val="000D6326"/>
    <w:rsid w:val="000D6D71"/>
    <w:rsid w:val="000D7C65"/>
    <w:rsid w:val="000E1889"/>
    <w:rsid w:val="000E1AC5"/>
    <w:rsid w:val="000E1CD1"/>
    <w:rsid w:val="000E2269"/>
    <w:rsid w:val="000E2ABD"/>
    <w:rsid w:val="000E2C77"/>
    <w:rsid w:val="000E40B5"/>
    <w:rsid w:val="000E4257"/>
    <w:rsid w:val="000E4856"/>
    <w:rsid w:val="000E6279"/>
    <w:rsid w:val="000E662C"/>
    <w:rsid w:val="000F197E"/>
    <w:rsid w:val="000F21E8"/>
    <w:rsid w:val="000F2321"/>
    <w:rsid w:val="000F2E68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95A"/>
    <w:rsid w:val="00115A5F"/>
    <w:rsid w:val="001164A3"/>
    <w:rsid w:val="001164B5"/>
    <w:rsid w:val="0012261D"/>
    <w:rsid w:val="001226A2"/>
    <w:rsid w:val="0013033A"/>
    <w:rsid w:val="0013078F"/>
    <w:rsid w:val="00132D97"/>
    <w:rsid w:val="001330FD"/>
    <w:rsid w:val="00133461"/>
    <w:rsid w:val="00133BBC"/>
    <w:rsid w:val="001342B8"/>
    <w:rsid w:val="00136184"/>
    <w:rsid w:val="001365D2"/>
    <w:rsid w:val="001368A2"/>
    <w:rsid w:val="00137A53"/>
    <w:rsid w:val="00137D92"/>
    <w:rsid w:val="001409C3"/>
    <w:rsid w:val="00142B5F"/>
    <w:rsid w:val="00143373"/>
    <w:rsid w:val="001455B6"/>
    <w:rsid w:val="00147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339B"/>
    <w:rsid w:val="00165A20"/>
    <w:rsid w:val="00167294"/>
    <w:rsid w:val="0017168C"/>
    <w:rsid w:val="00172779"/>
    <w:rsid w:val="00173163"/>
    <w:rsid w:val="00174529"/>
    <w:rsid w:val="001769E6"/>
    <w:rsid w:val="00181E75"/>
    <w:rsid w:val="0018456C"/>
    <w:rsid w:val="00184C05"/>
    <w:rsid w:val="0018556C"/>
    <w:rsid w:val="001860F3"/>
    <w:rsid w:val="00186FAA"/>
    <w:rsid w:val="001875CC"/>
    <w:rsid w:val="00187B85"/>
    <w:rsid w:val="00187C4B"/>
    <w:rsid w:val="00187D7B"/>
    <w:rsid w:val="00190922"/>
    <w:rsid w:val="001909DD"/>
    <w:rsid w:val="00192432"/>
    <w:rsid w:val="00192DA3"/>
    <w:rsid w:val="001938C0"/>
    <w:rsid w:val="0019414A"/>
    <w:rsid w:val="0019493A"/>
    <w:rsid w:val="00195A13"/>
    <w:rsid w:val="00195A93"/>
    <w:rsid w:val="00195E5D"/>
    <w:rsid w:val="00196EBF"/>
    <w:rsid w:val="00197462"/>
    <w:rsid w:val="001979BC"/>
    <w:rsid w:val="001A1883"/>
    <w:rsid w:val="001A1B86"/>
    <w:rsid w:val="001A2911"/>
    <w:rsid w:val="001A2C38"/>
    <w:rsid w:val="001A363B"/>
    <w:rsid w:val="001A3CD6"/>
    <w:rsid w:val="001A4847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0D1A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E7A9A"/>
    <w:rsid w:val="001F2486"/>
    <w:rsid w:val="001F251E"/>
    <w:rsid w:val="001F3489"/>
    <w:rsid w:val="001F67CC"/>
    <w:rsid w:val="00203113"/>
    <w:rsid w:val="002042C2"/>
    <w:rsid w:val="00204995"/>
    <w:rsid w:val="0020506E"/>
    <w:rsid w:val="00206072"/>
    <w:rsid w:val="002066FE"/>
    <w:rsid w:val="00211E09"/>
    <w:rsid w:val="00212730"/>
    <w:rsid w:val="0021279D"/>
    <w:rsid w:val="0021280B"/>
    <w:rsid w:val="002129C2"/>
    <w:rsid w:val="002147D2"/>
    <w:rsid w:val="002154F6"/>
    <w:rsid w:val="0021575E"/>
    <w:rsid w:val="00215F9D"/>
    <w:rsid w:val="00216218"/>
    <w:rsid w:val="00217F0A"/>
    <w:rsid w:val="00220264"/>
    <w:rsid w:val="002202AF"/>
    <w:rsid w:val="00221639"/>
    <w:rsid w:val="00222488"/>
    <w:rsid w:val="00223248"/>
    <w:rsid w:val="002243F5"/>
    <w:rsid w:val="00225F49"/>
    <w:rsid w:val="002270DA"/>
    <w:rsid w:val="00232933"/>
    <w:rsid w:val="00233547"/>
    <w:rsid w:val="0023377D"/>
    <w:rsid w:val="00233E51"/>
    <w:rsid w:val="00234612"/>
    <w:rsid w:val="00235F72"/>
    <w:rsid w:val="00237253"/>
    <w:rsid w:val="00240A6B"/>
    <w:rsid w:val="00240B54"/>
    <w:rsid w:val="00241556"/>
    <w:rsid w:val="002418B3"/>
    <w:rsid w:val="00241D14"/>
    <w:rsid w:val="002420D6"/>
    <w:rsid w:val="0024250B"/>
    <w:rsid w:val="0024395F"/>
    <w:rsid w:val="00244F03"/>
    <w:rsid w:val="002454FA"/>
    <w:rsid w:val="00245597"/>
    <w:rsid w:val="00246966"/>
    <w:rsid w:val="0025164B"/>
    <w:rsid w:val="002520C5"/>
    <w:rsid w:val="00252DD4"/>
    <w:rsid w:val="00255E33"/>
    <w:rsid w:val="00263855"/>
    <w:rsid w:val="00263AF5"/>
    <w:rsid w:val="00263F6D"/>
    <w:rsid w:val="002647F8"/>
    <w:rsid w:val="002659C3"/>
    <w:rsid w:val="00265B3B"/>
    <w:rsid w:val="00270A1F"/>
    <w:rsid w:val="0027252E"/>
    <w:rsid w:val="00272E9D"/>
    <w:rsid w:val="0027402D"/>
    <w:rsid w:val="00276511"/>
    <w:rsid w:val="00276FDE"/>
    <w:rsid w:val="0027727A"/>
    <w:rsid w:val="0027776F"/>
    <w:rsid w:val="00277BF2"/>
    <w:rsid w:val="00280375"/>
    <w:rsid w:val="00281C12"/>
    <w:rsid w:val="002829E2"/>
    <w:rsid w:val="00282AD1"/>
    <w:rsid w:val="00284CCE"/>
    <w:rsid w:val="00284E77"/>
    <w:rsid w:val="002853C3"/>
    <w:rsid w:val="00285934"/>
    <w:rsid w:val="00286089"/>
    <w:rsid w:val="00292C02"/>
    <w:rsid w:val="00293CC3"/>
    <w:rsid w:val="00294900"/>
    <w:rsid w:val="00295558"/>
    <w:rsid w:val="002A2CDB"/>
    <w:rsid w:val="002A3CA9"/>
    <w:rsid w:val="002A3E0E"/>
    <w:rsid w:val="002A42DD"/>
    <w:rsid w:val="002A46FC"/>
    <w:rsid w:val="002A7BB0"/>
    <w:rsid w:val="002B3DF7"/>
    <w:rsid w:val="002B5BC8"/>
    <w:rsid w:val="002C26C1"/>
    <w:rsid w:val="002C413F"/>
    <w:rsid w:val="002C4641"/>
    <w:rsid w:val="002C5626"/>
    <w:rsid w:val="002C6123"/>
    <w:rsid w:val="002C6177"/>
    <w:rsid w:val="002C699B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BB"/>
    <w:rsid w:val="002D59E7"/>
    <w:rsid w:val="002E001C"/>
    <w:rsid w:val="002E35F7"/>
    <w:rsid w:val="002E4D74"/>
    <w:rsid w:val="002E78CA"/>
    <w:rsid w:val="002E7C86"/>
    <w:rsid w:val="002F036F"/>
    <w:rsid w:val="002F0FCC"/>
    <w:rsid w:val="002F199C"/>
    <w:rsid w:val="002F2727"/>
    <w:rsid w:val="002F340F"/>
    <w:rsid w:val="002F3BEF"/>
    <w:rsid w:val="002F751E"/>
    <w:rsid w:val="002F7874"/>
    <w:rsid w:val="0030181F"/>
    <w:rsid w:val="003018D9"/>
    <w:rsid w:val="00301A83"/>
    <w:rsid w:val="003025BF"/>
    <w:rsid w:val="003029B5"/>
    <w:rsid w:val="0030700D"/>
    <w:rsid w:val="00311018"/>
    <w:rsid w:val="00315100"/>
    <w:rsid w:val="00315F9C"/>
    <w:rsid w:val="003209F3"/>
    <w:rsid w:val="003215EC"/>
    <w:rsid w:val="00321CA5"/>
    <w:rsid w:val="00322343"/>
    <w:rsid w:val="00324F1C"/>
    <w:rsid w:val="00325AD7"/>
    <w:rsid w:val="00326A39"/>
    <w:rsid w:val="00330124"/>
    <w:rsid w:val="00331A22"/>
    <w:rsid w:val="0033298B"/>
    <w:rsid w:val="00336369"/>
    <w:rsid w:val="003367F0"/>
    <w:rsid w:val="00340863"/>
    <w:rsid w:val="00344761"/>
    <w:rsid w:val="003451D4"/>
    <w:rsid w:val="00345BF5"/>
    <w:rsid w:val="00346490"/>
    <w:rsid w:val="003471F0"/>
    <w:rsid w:val="00351553"/>
    <w:rsid w:val="003522C3"/>
    <w:rsid w:val="003565AD"/>
    <w:rsid w:val="003577D0"/>
    <w:rsid w:val="00357C26"/>
    <w:rsid w:val="00357EF8"/>
    <w:rsid w:val="00361463"/>
    <w:rsid w:val="003617DE"/>
    <w:rsid w:val="00362C26"/>
    <w:rsid w:val="00363576"/>
    <w:rsid w:val="00364436"/>
    <w:rsid w:val="003647D0"/>
    <w:rsid w:val="00367110"/>
    <w:rsid w:val="003708D0"/>
    <w:rsid w:val="00370EB4"/>
    <w:rsid w:val="00372FA2"/>
    <w:rsid w:val="003735F2"/>
    <w:rsid w:val="00374FE1"/>
    <w:rsid w:val="003750CF"/>
    <w:rsid w:val="003752CB"/>
    <w:rsid w:val="00375575"/>
    <w:rsid w:val="00375B42"/>
    <w:rsid w:val="00375CC8"/>
    <w:rsid w:val="003773D1"/>
    <w:rsid w:val="00380713"/>
    <w:rsid w:val="00380E14"/>
    <w:rsid w:val="003826C6"/>
    <w:rsid w:val="00383F8C"/>
    <w:rsid w:val="003850C5"/>
    <w:rsid w:val="00385770"/>
    <w:rsid w:val="00386D61"/>
    <w:rsid w:val="00387257"/>
    <w:rsid w:val="00387C17"/>
    <w:rsid w:val="00391418"/>
    <w:rsid w:val="003922C9"/>
    <w:rsid w:val="0039269B"/>
    <w:rsid w:val="00393D60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298"/>
    <w:rsid w:val="003B7732"/>
    <w:rsid w:val="003B79B7"/>
    <w:rsid w:val="003C0E64"/>
    <w:rsid w:val="003C3491"/>
    <w:rsid w:val="003C3589"/>
    <w:rsid w:val="003C36D3"/>
    <w:rsid w:val="003C452F"/>
    <w:rsid w:val="003C54B8"/>
    <w:rsid w:val="003C676A"/>
    <w:rsid w:val="003D01DA"/>
    <w:rsid w:val="003D03B0"/>
    <w:rsid w:val="003D060D"/>
    <w:rsid w:val="003D1E71"/>
    <w:rsid w:val="003D1EE0"/>
    <w:rsid w:val="003D31F5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5420"/>
    <w:rsid w:val="003E5BA5"/>
    <w:rsid w:val="003E79B9"/>
    <w:rsid w:val="003F00EE"/>
    <w:rsid w:val="003F04FB"/>
    <w:rsid w:val="003F0E8C"/>
    <w:rsid w:val="003F0EDA"/>
    <w:rsid w:val="003F1745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4BD2"/>
    <w:rsid w:val="00404D0F"/>
    <w:rsid w:val="00410346"/>
    <w:rsid w:val="0041085B"/>
    <w:rsid w:val="0041196A"/>
    <w:rsid w:val="0041374E"/>
    <w:rsid w:val="004139D4"/>
    <w:rsid w:val="00415D5C"/>
    <w:rsid w:val="00416206"/>
    <w:rsid w:val="00416503"/>
    <w:rsid w:val="0041658E"/>
    <w:rsid w:val="00416AF6"/>
    <w:rsid w:val="00417332"/>
    <w:rsid w:val="004225BD"/>
    <w:rsid w:val="00423396"/>
    <w:rsid w:val="0042340B"/>
    <w:rsid w:val="004238C4"/>
    <w:rsid w:val="00426C67"/>
    <w:rsid w:val="004271F2"/>
    <w:rsid w:val="00427D46"/>
    <w:rsid w:val="004301CC"/>
    <w:rsid w:val="00430DB9"/>
    <w:rsid w:val="00431837"/>
    <w:rsid w:val="00431A54"/>
    <w:rsid w:val="00433972"/>
    <w:rsid w:val="00434DE1"/>
    <w:rsid w:val="004350BF"/>
    <w:rsid w:val="00437820"/>
    <w:rsid w:val="00437DA5"/>
    <w:rsid w:val="00437F93"/>
    <w:rsid w:val="004419CF"/>
    <w:rsid w:val="00442988"/>
    <w:rsid w:val="00443362"/>
    <w:rsid w:val="00443436"/>
    <w:rsid w:val="0044378E"/>
    <w:rsid w:val="0044486B"/>
    <w:rsid w:val="00446477"/>
    <w:rsid w:val="0044760D"/>
    <w:rsid w:val="004506B1"/>
    <w:rsid w:val="004518A5"/>
    <w:rsid w:val="00453A37"/>
    <w:rsid w:val="00453B24"/>
    <w:rsid w:val="0045449B"/>
    <w:rsid w:val="004544F9"/>
    <w:rsid w:val="00454AC3"/>
    <w:rsid w:val="004559E9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67362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1C22"/>
    <w:rsid w:val="00484049"/>
    <w:rsid w:val="00485560"/>
    <w:rsid w:val="00486775"/>
    <w:rsid w:val="004878B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97D99"/>
    <w:rsid w:val="004A2826"/>
    <w:rsid w:val="004A3023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380F"/>
    <w:rsid w:val="004B4EA4"/>
    <w:rsid w:val="004C12EF"/>
    <w:rsid w:val="004C261A"/>
    <w:rsid w:val="004C2905"/>
    <w:rsid w:val="004C50A6"/>
    <w:rsid w:val="004C7D68"/>
    <w:rsid w:val="004D159F"/>
    <w:rsid w:val="004D29F3"/>
    <w:rsid w:val="004D4BFC"/>
    <w:rsid w:val="004D56A7"/>
    <w:rsid w:val="004D5E77"/>
    <w:rsid w:val="004E0196"/>
    <w:rsid w:val="004E136E"/>
    <w:rsid w:val="004E32D2"/>
    <w:rsid w:val="004E33E0"/>
    <w:rsid w:val="004E50EE"/>
    <w:rsid w:val="004E53FD"/>
    <w:rsid w:val="004E5D24"/>
    <w:rsid w:val="004E7318"/>
    <w:rsid w:val="004F0F9F"/>
    <w:rsid w:val="004F2FA5"/>
    <w:rsid w:val="004F302F"/>
    <w:rsid w:val="004F327A"/>
    <w:rsid w:val="004F4667"/>
    <w:rsid w:val="004F5574"/>
    <w:rsid w:val="004F6E1F"/>
    <w:rsid w:val="00503B11"/>
    <w:rsid w:val="005044AF"/>
    <w:rsid w:val="00504A7D"/>
    <w:rsid w:val="005062CE"/>
    <w:rsid w:val="005065F7"/>
    <w:rsid w:val="005109F0"/>
    <w:rsid w:val="00510BB3"/>
    <w:rsid w:val="00513748"/>
    <w:rsid w:val="005138BB"/>
    <w:rsid w:val="0051792B"/>
    <w:rsid w:val="005207FD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1BF3"/>
    <w:rsid w:val="00533F0C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0F15"/>
    <w:rsid w:val="0055146D"/>
    <w:rsid w:val="00551504"/>
    <w:rsid w:val="0055218E"/>
    <w:rsid w:val="00552AE1"/>
    <w:rsid w:val="00552B7C"/>
    <w:rsid w:val="00554906"/>
    <w:rsid w:val="00554A6A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7060"/>
    <w:rsid w:val="0057706B"/>
    <w:rsid w:val="005801E1"/>
    <w:rsid w:val="00580DAA"/>
    <w:rsid w:val="00581E24"/>
    <w:rsid w:val="00582130"/>
    <w:rsid w:val="00582472"/>
    <w:rsid w:val="00585E61"/>
    <w:rsid w:val="005860B9"/>
    <w:rsid w:val="00586F62"/>
    <w:rsid w:val="00587B3E"/>
    <w:rsid w:val="00587CCB"/>
    <w:rsid w:val="00590BF6"/>
    <w:rsid w:val="00591A5F"/>
    <w:rsid w:val="00591C28"/>
    <w:rsid w:val="00594DDE"/>
    <w:rsid w:val="0059661E"/>
    <w:rsid w:val="005A192B"/>
    <w:rsid w:val="005A2907"/>
    <w:rsid w:val="005A2B73"/>
    <w:rsid w:val="005A368E"/>
    <w:rsid w:val="005A3DE9"/>
    <w:rsid w:val="005A4C75"/>
    <w:rsid w:val="005A590D"/>
    <w:rsid w:val="005A6393"/>
    <w:rsid w:val="005A78FB"/>
    <w:rsid w:val="005B0483"/>
    <w:rsid w:val="005B3F6D"/>
    <w:rsid w:val="005B45D1"/>
    <w:rsid w:val="005B4CC3"/>
    <w:rsid w:val="005B6D74"/>
    <w:rsid w:val="005B7BFB"/>
    <w:rsid w:val="005C11BE"/>
    <w:rsid w:val="005C1444"/>
    <w:rsid w:val="005C1AD6"/>
    <w:rsid w:val="005C4288"/>
    <w:rsid w:val="005C5188"/>
    <w:rsid w:val="005C5DCC"/>
    <w:rsid w:val="005D10B5"/>
    <w:rsid w:val="005D32A1"/>
    <w:rsid w:val="005D339D"/>
    <w:rsid w:val="005E13B0"/>
    <w:rsid w:val="005E23EC"/>
    <w:rsid w:val="005E271F"/>
    <w:rsid w:val="005E3BF1"/>
    <w:rsid w:val="005E4ADF"/>
    <w:rsid w:val="005F1805"/>
    <w:rsid w:val="005F2F01"/>
    <w:rsid w:val="005F3147"/>
    <w:rsid w:val="005F4E08"/>
    <w:rsid w:val="005F6D8A"/>
    <w:rsid w:val="00600600"/>
    <w:rsid w:val="00600CA8"/>
    <w:rsid w:val="006035DD"/>
    <w:rsid w:val="00605170"/>
    <w:rsid w:val="006103C6"/>
    <w:rsid w:val="00614A6A"/>
    <w:rsid w:val="00614BED"/>
    <w:rsid w:val="006155F4"/>
    <w:rsid w:val="006164BB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27F16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600E7"/>
    <w:rsid w:val="00660B6C"/>
    <w:rsid w:val="00662D50"/>
    <w:rsid w:val="00663FF5"/>
    <w:rsid w:val="0066446C"/>
    <w:rsid w:val="00664BDC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0DE"/>
    <w:rsid w:val="0068185E"/>
    <w:rsid w:val="00681D41"/>
    <w:rsid w:val="0068261E"/>
    <w:rsid w:val="00682827"/>
    <w:rsid w:val="00684225"/>
    <w:rsid w:val="006852C0"/>
    <w:rsid w:val="0069046F"/>
    <w:rsid w:val="0069200B"/>
    <w:rsid w:val="00692E10"/>
    <w:rsid w:val="00697722"/>
    <w:rsid w:val="00697C47"/>
    <w:rsid w:val="006A0E04"/>
    <w:rsid w:val="006A1F54"/>
    <w:rsid w:val="006A26A3"/>
    <w:rsid w:val="006A5661"/>
    <w:rsid w:val="006A58A3"/>
    <w:rsid w:val="006A69BF"/>
    <w:rsid w:val="006A71AD"/>
    <w:rsid w:val="006B25E5"/>
    <w:rsid w:val="006B2E8F"/>
    <w:rsid w:val="006B3A69"/>
    <w:rsid w:val="006B3BDF"/>
    <w:rsid w:val="006B44DF"/>
    <w:rsid w:val="006B463C"/>
    <w:rsid w:val="006B52F4"/>
    <w:rsid w:val="006B5E5C"/>
    <w:rsid w:val="006B6A80"/>
    <w:rsid w:val="006B702A"/>
    <w:rsid w:val="006B75A3"/>
    <w:rsid w:val="006C1F4B"/>
    <w:rsid w:val="006C234F"/>
    <w:rsid w:val="006C44E4"/>
    <w:rsid w:val="006C45B7"/>
    <w:rsid w:val="006C47BE"/>
    <w:rsid w:val="006C58E2"/>
    <w:rsid w:val="006C6FC3"/>
    <w:rsid w:val="006D112B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021"/>
    <w:rsid w:val="006E4F47"/>
    <w:rsid w:val="006E572E"/>
    <w:rsid w:val="006E5C77"/>
    <w:rsid w:val="006E6616"/>
    <w:rsid w:val="006E7EF8"/>
    <w:rsid w:val="006F014D"/>
    <w:rsid w:val="006F0297"/>
    <w:rsid w:val="006F0B11"/>
    <w:rsid w:val="006F0E45"/>
    <w:rsid w:val="006F1CA6"/>
    <w:rsid w:val="006F32C2"/>
    <w:rsid w:val="006F3C80"/>
    <w:rsid w:val="006F5502"/>
    <w:rsid w:val="006F5C17"/>
    <w:rsid w:val="006F5E9B"/>
    <w:rsid w:val="006F5F29"/>
    <w:rsid w:val="007002BD"/>
    <w:rsid w:val="00701E62"/>
    <w:rsid w:val="00703667"/>
    <w:rsid w:val="00703733"/>
    <w:rsid w:val="00704BC8"/>
    <w:rsid w:val="00705769"/>
    <w:rsid w:val="007057E2"/>
    <w:rsid w:val="00706F13"/>
    <w:rsid w:val="00711D0C"/>
    <w:rsid w:val="0071206D"/>
    <w:rsid w:val="00713510"/>
    <w:rsid w:val="00713DCB"/>
    <w:rsid w:val="007144AA"/>
    <w:rsid w:val="00715E64"/>
    <w:rsid w:val="007161C4"/>
    <w:rsid w:val="00716808"/>
    <w:rsid w:val="00716EF9"/>
    <w:rsid w:val="007171C1"/>
    <w:rsid w:val="0071778B"/>
    <w:rsid w:val="007206E7"/>
    <w:rsid w:val="007227A0"/>
    <w:rsid w:val="00722CB9"/>
    <w:rsid w:val="007234B7"/>
    <w:rsid w:val="007237D2"/>
    <w:rsid w:val="007247F2"/>
    <w:rsid w:val="00724B56"/>
    <w:rsid w:val="007267E3"/>
    <w:rsid w:val="007323D5"/>
    <w:rsid w:val="007334C5"/>
    <w:rsid w:val="00736C4C"/>
    <w:rsid w:val="00740206"/>
    <w:rsid w:val="00740E5B"/>
    <w:rsid w:val="0074276A"/>
    <w:rsid w:val="00744DB3"/>
    <w:rsid w:val="007460FE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3E26"/>
    <w:rsid w:val="007740D1"/>
    <w:rsid w:val="00774B39"/>
    <w:rsid w:val="007752D4"/>
    <w:rsid w:val="007765B3"/>
    <w:rsid w:val="00777385"/>
    <w:rsid w:val="00777496"/>
    <w:rsid w:val="0077765F"/>
    <w:rsid w:val="00777CBB"/>
    <w:rsid w:val="0078119E"/>
    <w:rsid w:val="007816A9"/>
    <w:rsid w:val="00781F4F"/>
    <w:rsid w:val="007831D8"/>
    <w:rsid w:val="007839F3"/>
    <w:rsid w:val="00784D01"/>
    <w:rsid w:val="00785F75"/>
    <w:rsid w:val="007901E5"/>
    <w:rsid w:val="00790EA3"/>
    <w:rsid w:val="007934DF"/>
    <w:rsid w:val="007936F9"/>
    <w:rsid w:val="00793982"/>
    <w:rsid w:val="00793FE8"/>
    <w:rsid w:val="0079539A"/>
    <w:rsid w:val="00795AFD"/>
    <w:rsid w:val="00795BF3"/>
    <w:rsid w:val="007A00DF"/>
    <w:rsid w:val="007A0573"/>
    <w:rsid w:val="007A0BC4"/>
    <w:rsid w:val="007A2DBB"/>
    <w:rsid w:val="007A358C"/>
    <w:rsid w:val="007A4CAF"/>
    <w:rsid w:val="007A5BF4"/>
    <w:rsid w:val="007A60BE"/>
    <w:rsid w:val="007A623B"/>
    <w:rsid w:val="007A73EC"/>
    <w:rsid w:val="007A780A"/>
    <w:rsid w:val="007B0487"/>
    <w:rsid w:val="007B1D7D"/>
    <w:rsid w:val="007B1E92"/>
    <w:rsid w:val="007B2D63"/>
    <w:rsid w:val="007B327B"/>
    <w:rsid w:val="007B35A4"/>
    <w:rsid w:val="007B3843"/>
    <w:rsid w:val="007B4FEF"/>
    <w:rsid w:val="007B65C1"/>
    <w:rsid w:val="007B6941"/>
    <w:rsid w:val="007B7240"/>
    <w:rsid w:val="007B76BA"/>
    <w:rsid w:val="007B76D4"/>
    <w:rsid w:val="007B79BB"/>
    <w:rsid w:val="007C0718"/>
    <w:rsid w:val="007C1262"/>
    <w:rsid w:val="007C40DF"/>
    <w:rsid w:val="007C609E"/>
    <w:rsid w:val="007D0969"/>
    <w:rsid w:val="007D1DF8"/>
    <w:rsid w:val="007D2584"/>
    <w:rsid w:val="007D39F0"/>
    <w:rsid w:val="007D4185"/>
    <w:rsid w:val="007D48EB"/>
    <w:rsid w:val="007D56EE"/>
    <w:rsid w:val="007D5F0D"/>
    <w:rsid w:val="007D7314"/>
    <w:rsid w:val="007E16FC"/>
    <w:rsid w:val="007E1AF0"/>
    <w:rsid w:val="007E367A"/>
    <w:rsid w:val="007E40EA"/>
    <w:rsid w:val="007E424A"/>
    <w:rsid w:val="007E4A77"/>
    <w:rsid w:val="007E4F27"/>
    <w:rsid w:val="007E6A03"/>
    <w:rsid w:val="007E6B19"/>
    <w:rsid w:val="007E7041"/>
    <w:rsid w:val="007E7082"/>
    <w:rsid w:val="007F18FF"/>
    <w:rsid w:val="007F2D30"/>
    <w:rsid w:val="007F5278"/>
    <w:rsid w:val="007F71CE"/>
    <w:rsid w:val="007F75B4"/>
    <w:rsid w:val="008007A8"/>
    <w:rsid w:val="00800ABC"/>
    <w:rsid w:val="00802AF9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13C4F"/>
    <w:rsid w:val="00815319"/>
    <w:rsid w:val="00815BB1"/>
    <w:rsid w:val="00820613"/>
    <w:rsid w:val="0082100C"/>
    <w:rsid w:val="00821982"/>
    <w:rsid w:val="008223C0"/>
    <w:rsid w:val="00822B7C"/>
    <w:rsid w:val="0082439C"/>
    <w:rsid w:val="0082509E"/>
    <w:rsid w:val="00827416"/>
    <w:rsid w:val="008279C2"/>
    <w:rsid w:val="00834706"/>
    <w:rsid w:val="00834E15"/>
    <w:rsid w:val="00837222"/>
    <w:rsid w:val="00837B60"/>
    <w:rsid w:val="00842883"/>
    <w:rsid w:val="00842E69"/>
    <w:rsid w:val="00845A1C"/>
    <w:rsid w:val="00846292"/>
    <w:rsid w:val="008463D7"/>
    <w:rsid w:val="00846A2F"/>
    <w:rsid w:val="0084741A"/>
    <w:rsid w:val="008504B5"/>
    <w:rsid w:val="00850B46"/>
    <w:rsid w:val="00851BB1"/>
    <w:rsid w:val="0085276D"/>
    <w:rsid w:val="0085473E"/>
    <w:rsid w:val="008555A7"/>
    <w:rsid w:val="008555C4"/>
    <w:rsid w:val="00855651"/>
    <w:rsid w:val="0086161A"/>
    <w:rsid w:val="008633BA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76574"/>
    <w:rsid w:val="008773F7"/>
    <w:rsid w:val="00877F8B"/>
    <w:rsid w:val="0088024A"/>
    <w:rsid w:val="00880719"/>
    <w:rsid w:val="0088292E"/>
    <w:rsid w:val="008829A0"/>
    <w:rsid w:val="00882A2E"/>
    <w:rsid w:val="00885669"/>
    <w:rsid w:val="00887F57"/>
    <w:rsid w:val="00890C98"/>
    <w:rsid w:val="00891552"/>
    <w:rsid w:val="00891F7A"/>
    <w:rsid w:val="00892083"/>
    <w:rsid w:val="0089208F"/>
    <w:rsid w:val="008935ED"/>
    <w:rsid w:val="00894466"/>
    <w:rsid w:val="00895893"/>
    <w:rsid w:val="00896121"/>
    <w:rsid w:val="00896681"/>
    <w:rsid w:val="008967C1"/>
    <w:rsid w:val="00897E0A"/>
    <w:rsid w:val="00897E41"/>
    <w:rsid w:val="008A2DB1"/>
    <w:rsid w:val="008A4684"/>
    <w:rsid w:val="008A61CC"/>
    <w:rsid w:val="008A73DA"/>
    <w:rsid w:val="008B03BD"/>
    <w:rsid w:val="008B23E1"/>
    <w:rsid w:val="008B2A90"/>
    <w:rsid w:val="008B6C57"/>
    <w:rsid w:val="008B7AD4"/>
    <w:rsid w:val="008B7CB9"/>
    <w:rsid w:val="008C26F3"/>
    <w:rsid w:val="008C33DC"/>
    <w:rsid w:val="008C3EFD"/>
    <w:rsid w:val="008C40EB"/>
    <w:rsid w:val="008C49E3"/>
    <w:rsid w:val="008C731D"/>
    <w:rsid w:val="008C7BEE"/>
    <w:rsid w:val="008D085F"/>
    <w:rsid w:val="008D3116"/>
    <w:rsid w:val="008D3291"/>
    <w:rsid w:val="008D390A"/>
    <w:rsid w:val="008D56DF"/>
    <w:rsid w:val="008D7A92"/>
    <w:rsid w:val="008E018E"/>
    <w:rsid w:val="008E4B76"/>
    <w:rsid w:val="008E65A4"/>
    <w:rsid w:val="008E6E20"/>
    <w:rsid w:val="008E701E"/>
    <w:rsid w:val="008E7BAD"/>
    <w:rsid w:val="008F0AC4"/>
    <w:rsid w:val="008F100C"/>
    <w:rsid w:val="008F1570"/>
    <w:rsid w:val="008F2903"/>
    <w:rsid w:val="008F2BE0"/>
    <w:rsid w:val="008F35C2"/>
    <w:rsid w:val="008F4B47"/>
    <w:rsid w:val="008F52D3"/>
    <w:rsid w:val="008F66FC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538F"/>
    <w:rsid w:val="00915E26"/>
    <w:rsid w:val="00917599"/>
    <w:rsid w:val="00923E6F"/>
    <w:rsid w:val="00924053"/>
    <w:rsid w:val="00924F90"/>
    <w:rsid w:val="00931790"/>
    <w:rsid w:val="00931D46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37EEC"/>
    <w:rsid w:val="009410D8"/>
    <w:rsid w:val="00941CAB"/>
    <w:rsid w:val="00942456"/>
    <w:rsid w:val="009424B6"/>
    <w:rsid w:val="00943722"/>
    <w:rsid w:val="00944A50"/>
    <w:rsid w:val="00945A9E"/>
    <w:rsid w:val="00945EFA"/>
    <w:rsid w:val="00946C9F"/>
    <w:rsid w:val="009509CA"/>
    <w:rsid w:val="009514AE"/>
    <w:rsid w:val="009526BD"/>
    <w:rsid w:val="00952A1E"/>
    <w:rsid w:val="00952EEA"/>
    <w:rsid w:val="00953949"/>
    <w:rsid w:val="009543BF"/>
    <w:rsid w:val="009546C7"/>
    <w:rsid w:val="00954E40"/>
    <w:rsid w:val="0095516C"/>
    <w:rsid w:val="00955506"/>
    <w:rsid w:val="009559DE"/>
    <w:rsid w:val="00957B37"/>
    <w:rsid w:val="0096010B"/>
    <w:rsid w:val="00960C09"/>
    <w:rsid w:val="00961196"/>
    <w:rsid w:val="00961207"/>
    <w:rsid w:val="00962713"/>
    <w:rsid w:val="00962FF2"/>
    <w:rsid w:val="00963793"/>
    <w:rsid w:val="009640D7"/>
    <w:rsid w:val="00964DAD"/>
    <w:rsid w:val="00964E1C"/>
    <w:rsid w:val="00966379"/>
    <w:rsid w:val="009667C2"/>
    <w:rsid w:val="00967257"/>
    <w:rsid w:val="00967A38"/>
    <w:rsid w:val="00967C4B"/>
    <w:rsid w:val="00971CBC"/>
    <w:rsid w:val="00971F94"/>
    <w:rsid w:val="0097283E"/>
    <w:rsid w:val="00972E63"/>
    <w:rsid w:val="00973980"/>
    <w:rsid w:val="00974A0F"/>
    <w:rsid w:val="0097524C"/>
    <w:rsid w:val="00980804"/>
    <w:rsid w:val="00980891"/>
    <w:rsid w:val="00980ADF"/>
    <w:rsid w:val="00980BC6"/>
    <w:rsid w:val="0098148B"/>
    <w:rsid w:val="00981E40"/>
    <w:rsid w:val="00983D0B"/>
    <w:rsid w:val="0098445D"/>
    <w:rsid w:val="0098587D"/>
    <w:rsid w:val="00987078"/>
    <w:rsid w:val="009879B8"/>
    <w:rsid w:val="00987BBF"/>
    <w:rsid w:val="0099026C"/>
    <w:rsid w:val="00990602"/>
    <w:rsid w:val="00990C3B"/>
    <w:rsid w:val="00993076"/>
    <w:rsid w:val="009945E2"/>
    <w:rsid w:val="00995877"/>
    <w:rsid w:val="00995AE1"/>
    <w:rsid w:val="00996A79"/>
    <w:rsid w:val="0099763C"/>
    <w:rsid w:val="009A1C5A"/>
    <w:rsid w:val="009A217A"/>
    <w:rsid w:val="009A332B"/>
    <w:rsid w:val="009A38BB"/>
    <w:rsid w:val="009A4704"/>
    <w:rsid w:val="009A4BAA"/>
    <w:rsid w:val="009A7741"/>
    <w:rsid w:val="009A7E22"/>
    <w:rsid w:val="009B2EDF"/>
    <w:rsid w:val="009B2F25"/>
    <w:rsid w:val="009B4394"/>
    <w:rsid w:val="009B492B"/>
    <w:rsid w:val="009B4DCE"/>
    <w:rsid w:val="009B5288"/>
    <w:rsid w:val="009B55C7"/>
    <w:rsid w:val="009B7B2A"/>
    <w:rsid w:val="009B7E66"/>
    <w:rsid w:val="009C0BFF"/>
    <w:rsid w:val="009C1885"/>
    <w:rsid w:val="009C23A4"/>
    <w:rsid w:val="009C4966"/>
    <w:rsid w:val="009C4D82"/>
    <w:rsid w:val="009C62C5"/>
    <w:rsid w:val="009C71CB"/>
    <w:rsid w:val="009C7BB9"/>
    <w:rsid w:val="009D0781"/>
    <w:rsid w:val="009D110C"/>
    <w:rsid w:val="009D1AD8"/>
    <w:rsid w:val="009D2FAB"/>
    <w:rsid w:val="009D3ED5"/>
    <w:rsid w:val="009D44FC"/>
    <w:rsid w:val="009D556C"/>
    <w:rsid w:val="009D5DBF"/>
    <w:rsid w:val="009D65ED"/>
    <w:rsid w:val="009D6A9A"/>
    <w:rsid w:val="009D7A9D"/>
    <w:rsid w:val="009E0F4B"/>
    <w:rsid w:val="009E51D0"/>
    <w:rsid w:val="009F0BA6"/>
    <w:rsid w:val="009F0D61"/>
    <w:rsid w:val="009F1585"/>
    <w:rsid w:val="009F1ABC"/>
    <w:rsid w:val="009F3199"/>
    <w:rsid w:val="009F38BD"/>
    <w:rsid w:val="009F6436"/>
    <w:rsid w:val="009F6A6C"/>
    <w:rsid w:val="009F6C95"/>
    <w:rsid w:val="009F7294"/>
    <w:rsid w:val="009F7A0A"/>
    <w:rsid w:val="00A01E95"/>
    <w:rsid w:val="00A038E7"/>
    <w:rsid w:val="00A0525C"/>
    <w:rsid w:val="00A1298F"/>
    <w:rsid w:val="00A13722"/>
    <w:rsid w:val="00A14D36"/>
    <w:rsid w:val="00A1597B"/>
    <w:rsid w:val="00A1749B"/>
    <w:rsid w:val="00A17684"/>
    <w:rsid w:val="00A17CDC"/>
    <w:rsid w:val="00A21543"/>
    <w:rsid w:val="00A22DF4"/>
    <w:rsid w:val="00A240E7"/>
    <w:rsid w:val="00A25391"/>
    <w:rsid w:val="00A27030"/>
    <w:rsid w:val="00A30C4F"/>
    <w:rsid w:val="00A30C62"/>
    <w:rsid w:val="00A3153C"/>
    <w:rsid w:val="00A33080"/>
    <w:rsid w:val="00A41EDC"/>
    <w:rsid w:val="00A43DE1"/>
    <w:rsid w:val="00A440D2"/>
    <w:rsid w:val="00A44E5B"/>
    <w:rsid w:val="00A45087"/>
    <w:rsid w:val="00A471CE"/>
    <w:rsid w:val="00A53DF1"/>
    <w:rsid w:val="00A5557F"/>
    <w:rsid w:val="00A5617C"/>
    <w:rsid w:val="00A608A0"/>
    <w:rsid w:val="00A60A53"/>
    <w:rsid w:val="00A60BF2"/>
    <w:rsid w:val="00A625C1"/>
    <w:rsid w:val="00A62BF8"/>
    <w:rsid w:val="00A632BA"/>
    <w:rsid w:val="00A64165"/>
    <w:rsid w:val="00A6640A"/>
    <w:rsid w:val="00A6730E"/>
    <w:rsid w:val="00A71152"/>
    <w:rsid w:val="00A7122D"/>
    <w:rsid w:val="00A71383"/>
    <w:rsid w:val="00A7475C"/>
    <w:rsid w:val="00A7490E"/>
    <w:rsid w:val="00A74E52"/>
    <w:rsid w:val="00A74E6D"/>
    <w:rsid w:val="00A801AB"/>
    <w:rsid w:val="00A81D4A"/>
    <w:rsid w:val="00A81EDF"/>
    <w:rsid w:val="00A833AD"/>
    <w:rsid w:val="00A84D58"/>
    <w:rsid w:val="00A854A8"/>
    <w:rsid w:val="00A8686A"/>
    <w:rsid w:val="00A879AB"/>
    <w:rsid w:val="00A9272F"/>
    <w:rsid w:val="00A93906"/>
    <w:rsid w:val="00A93BF1"/>
    <w:rsid w:val="00A93E59"/>
    <w:rsid w:val="00A93F09"/>
    <w:rsid w:val="00A94422"/>
    <w:rsid w:val="00A948FB"/>
    <w:rsid w:val="00A957D4"/>
    <w:rsid w:val="00AA59E4"/>
    <w:rsid w:val="00AA5BC6"/>
    <w:rsid w:val="00AA6D8E"/>
    <w:rsid w:val="00AB1B07"/>
    <w:rsid w:val="00AB378A"/>
    <w:rsid w:val="00AB4943"/>
    <w:rsid w:val="00AB60C5"/>
    <w:rsid w:val="00AC30E6"/>
    <w:rsid w:val="00AC679D"/>
    <w:rsid w:val="00AC6CDC"/>
    <w:rsid w:val="00AC70FC"/>
    <w:rsid w:val="00AD0472"/>
    <w:rsid w:val="00AD1FC3"/>
    <w:rsid w:val="00AD2DAC"/>
    <w:rsid w:val="00AD36B7"/>
    <w:rsid w:val="00AD4320"/>
    <w:rsid w:val="00AD46E5"/>
    <w:rsid w:val="00AD473B"/>
    <w:rsid w:val="00AD4FC2"/>
    <w:rsid w:val="00AD5095"/>
    <w:rsid w:val="00AD5868"/>
    <w:rsid w:val="00AD6900"/>
    <w:rsid w:val="00AD6ED4"/>
    <w:rsid w:val="00AE0AF6"/>
    <w:rsid w:val="00AE1098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0C81"/>
    <w:rsid w:val="00B01841"/>
    <w:rsid w:val="00B04353"/>
    <w:rsid w:val="00B04F6F"/>
    <w:rsid w:val="00B12E12"/>
    <w:rsid w:val="00B13FB1"/>
    <w:rsid w:val="00B14010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4A9E"/>
    <w:rsid w:val="00B36263"/>
    <w:rsid w:val="00B40844"/>
    <w:rsid w:val="00B40E3E"/>
    <w:rsid w:val="00B41CFE"/>
    <w:rsid w:val="00B42756"/>
    <w:rsid w:val="00B42760"/>
    <w:rsid w:val="00B42F9A"/>
    <w:rsid w:val="00B4492A"/>
    <w:rsid w:val="00B45B60"/>
    <w:rsid w:val="00B46251"/>
    <w:rsid w:val="00B4683B"/>
    <w:rsid w:val="00B515DE"/>
    <w:rsid w:val="00B534DE"/>
    <w:rsid w:val="00B54D09"/>
    <w:rsid w:val="00B54D1A"/>
    <w:rsid w:val="00B57287"/>
    <w:rsid w:val="00B57AEE"/>
    <w:rsid w:val="00B63288"/>
    <w:rsid w:val="00B6341A"/>
    <w:rsid w:val="00B64D74"/>
    <w:rsid w:val="00B64E63"/>
    <w:rsid w:val="00B65426"/>
    <w:rsid w:val="00B65FF0"/>
    <w:rsid w:val="00B671D4"/>
    <w:rsid w:val="00B673F8"/>
    <w:rsid w:val="00B70E1C"/>
    <w:rsid w:val="00B724C3"/>
    <w:rsid w:val="00B72C4D"/>
    <w:rsid w:val="00B73139"/>
    <w:rsid w:val="00B74E5C"/>
    <w:rsid w:val="00B756B6"/>
    <w:rsid w:val="00B80308"/>
    <w:rsid w:val="00B80624"/>
    <w:rsid w:val="00B8469B"/>
    <w:rsid w:val="00B84CA5"/>
    <w:rsid w:val="00B85F17"/>
    <w:rsid w:val="00B86368"/>
    <w:rsid w:val="00B90899"/>
    <w:rsid w:val="00B91C68"/>
    <w:rsid w:val="00B91FC0"/>
    <w:rsid w:val="00B9319A"/>
    <w:rsid w:val="00B947D8"/>
    <w:rsid w:val="00B950F1"/>
    <w:rsid w:val="00B967ED"/>
    <w:rsid w:val="00B96A1B"/>
    <w:rsid w:val="00B972E9"/>
    <w:rsid w:val="00B9768A"/>
    <w:rsid w:val="00BA3E8D"/>
    <w:rsid w:val="00BA4727"/>
    <w:rsid w:val="00BA6779"/>
    <w:rsid w:val="00BA7F45"/>
    <w:rsid w:val="00BB1930"/>
    <w:rsid w:val="00BB2614"/>
    <w:rsid w:val="00BB3B2E"/>
    <w:rsid w:val="00BB408C"/>
    <w:rsid w:val="00BB5DCC"/>
    <w:rsid w:val="00BB77E5"/>
    <w:rsid w:val="00BC205E"/>
    <w:rsid w:val="00BC4CFC"/>
    <w:rsid w:val="00BC4EAE"/>
    <w:rsid w:val="00BC6314"/>
    <w:rsid w:val="00BD1463"/>
    <w:rsid w:val="00BD4C75"/>
    <w:rsid w:val="00BD7E55"/>
    <w:rsid w:val="00BD7E8C"/>
    <w:rsid w:val="00BD7FA1"/>
    <w:rsid w:val="00BE15D1"/>
    <w:rsid w:val="00BE1DC3"/>
    <w:rsid w:val="00BE3008"/>
    <w:rsid w:val="00BE4A67"/>
    <w:rsid w:val="00BE5D4D"/>
    <w:rsid w:val="00BE65D7"/>
    <w:rsid w:val="00BE7D96"/>
    <w:rsid w:val="00BF0C75"/>
    <w:rsid w:val="00BF1570"/>
    <w:rsid w:val="00BF22D8"/>
    <w:rsid w:val="00BF31DF"/>
    <w:rsid w:val="00BF379E"/>
    <w:rsid w:val="00BF60E6"/>
    <w:rsid w:val="00BF6522"/>
    <w:rsid w:val="00BF7060"/>
    <w:rsid w:val="00BF7CAD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954"/>
    <w:rsid w:val="00C15BDF"/>
    <w:rsid w:val="00C16E0C"/>
    <w:rsid w:val="00C20653"/>
    <w:rsid w:val="00C215CB"/>
    <w:rsid w:val="00C223E5"/>
    <w:rsid w:val="00C27E29"/>
    <w:rsid w:val="00C32212"/>
    <w:rsid w:val="00C3372C"/>
    <w:rsid w:val="00C3461A"/>
    <w:rsid w:val="00C35D2E"/>
    <w:rsid w:val="00C364C2"/>
    <w:rsid w:val="00C3721E"/>
    <w:rsid w:val="00C4098F"/>
    <w:rsid w:val="00C41E8A"/>
    <w:rsid w:val="00C43A18"/>
    <w:rsid w:val="00C46FE1"/>
    <w:rsid w:val="00C50D2C"/>
    <w:rsid w:val="00C522B3"/>
    <w:rsid w:val="00C53A76"/>
    <w:rsid w:val="00C54BCF"/>
    <w:rsid w:val="00C56B68"/>
    <w:rsid w:val="00C57F20"/>
    <w:rsid w:val="00C61237"/>
    <w:rsid w:val="00C622C6"/>
    <w:rsid w:val="00C63D0A"/>
    <w:rsid w:val="00C66C72"/>
    <w:rsid w:val="00C704A7"/>
    <w:rsid w:val="00C704AA"/>
    <w:rsid w:val="00C723F4"/>
    <w:rsid w:val="00C72E85"/>
    <w:rsid w:val="00C73195"/>
    <w:rsid w:val="00C751D6"/>
    <w:rsid w:val="00C7629F"/>
    <w:rsid w:val="00C7724A"/>
    <w:rsid w:val="00C83358"/>
    <w:rsid w:val="00C84287"/>
    <w:rsid w:val="00C859E3"/>
    <w:rsid w:val="00C85E18"/>
    <w:rsid w:val="00C85E97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B0B37"/>
    <w:rsid w:val="00CB2324"/>
    <w:rsid w:val="00CB72D5"/>
    <w:rsid w:val="00CB7D0E"/>
    <w:rsid w:val="00CC1FCE"/>
    <w:rsid w:val="00CC3516"/>
    <w:rsid w:val="00CC36E2"/>
    <w:rsid w:val="00CC4901"/>
    <w:rsid w:val="00CC5516"/>
    <w:rsid w:val="00CC58CF"/>
    <w:rsid w:val="00CC62A0"/>
    <w:rsid w:val="00CC632C"/>
    <w:rsid w:val="00CD02BA"/>
    <w:rsid w:val="00CD0473"/>
    <w:rsid w:val="00CD04F7"/>
    <w:rsid w:val="00CD149D"/>
    <w:rsid w:val="00CD185F"/>
    <w:rsid w:val="00CD3091"/>
    <w:rsid w:val="00CD4312"/>
    <w:rsid w:val="00CD5851"/>
    <w:rsid w:val="00CD65C2"/>
    <w:rsid w:val="00CD79D6"/>
    <w:rsid w:val="00CD7B7C"/>
    <w:rsid w:val="00CE285E"/>
    <w:rsid w:val="00CE48C1"/>
    <w:rsid w:val="00CE6C8C"/>
    <w:rsid w:val="00CF085B"/>
    <w:rsid w:val="00CF38D2"/>
    <w:rsid w:val="00CF3921"/>
    <w:rsid w:val="00CF4782"/>
    <w:rsid w:val="00CF52BD"/>
    <w:rsid w:val="00CF6626"/>
    <w:rsid w:val="00CF69E9"/>
    <w:rsid w:val="00CF7E3E"/>
    <w:rsid w:val="00D036AF"/>
    <w:rsid w:val="00D04D76"/>
    <w:rsid w:val="00D05688"/>
    <w:rsid w:val="00D12D28"/>
    <w:rsid w:val="00D14A6E"/>
    <w:rsid w:val="00D16650"/>
    <w:rsid w:val="00D1677B"/>
    <w:rsid w:val="00D2154C"/>
    <w:rsid w:val="00D228E9"/>
    <w:rsid w:val="00D22C78"/>
    <w:rsid w:val="00D23C54"/>
    <w:rsid w:val="00D249AA"/>
    <w:rsid w:val="00D24CEF"/>
    <w:rsid w:val="00D27D49"/>
    <w:rsid w:val="00D311D3"/>
    <w:rsid w:val="00D312E1"/>
    <w:rsid w:val="00D31502"/>
    <w:rsid w:val="00D31559"/>
    <w:rsid w:val="00D35100"/>
    <w:rsid w:val="00D427E5"/>
    <w:rsid w:val="00D43B6E"/>
    <w:rsid w:val="00D43B77"/>
    <w:rsid w:val="00D43E77"/>
    <w:rsid w:val="00D4536A"/>
    <w:rsid w:val="00D47A6A"/>
    <w:rsid w:val="00D47D26"/>
    <w:rsid w:val="00D517AC"/>
    <w:rsid w:val="00D52088"/>
    <w:rsid w:val="00D53238"/>
    <w:rsid w:val="00D53B04"/>
    <w:rsid w:val="00D5542C"/>
    <w:rsid w:val="00D55E01"/>
    <w:rsid w:val="00D615AE"/>
    <w:rsid w:val="00D63CDD"/>
    <w:rsid w:val="00D64026"/>
    <w:rsid w:val="00D6450D"/>
    <w:rsid w:val="00D65F3A"/>
    <w:rsid w:val="00D6734B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60CD"/>
    <w:rsid w:val="00D77081"/>
    <w:rsid w:val="00D80A18"/>
    <w:rsid w:val="00D814D0"/>
    <w:rsid w:val="00D81E61"/>
    <w:rsid w:val="00D824FE"/>
    <w:rsid w:val="00D83DE3"/>
    <w:rsid w:val="00D84159"/>
    <w:rsid w:val="00D85843"/>
    <w:rsid w:val="00D86AFC"/>
    <w:rsid w:val="00D90C82"/>
    <w:rsid w:val="00D90F3F"/>
    <w:rsid w:val="00D914A7"/>
    <w:rsid w:val="00D91ABB"/>
    <w:rsid w:val="00D92E31"/>
    <w:rsid w:val="00D9308D"/>
    <w:rsid w:val="00D93D72"/>
    <w:rsid w:val="00D9527F"/>
    <w:rsid w:val="00D96ABC"/>
    <w:rsid w:val="00DA356D"/>
    <w:rsid w:val="00DA3574"/>
    <w:rsid w:val="00DA3894"/>
    <w:rsid w:val="00DA67D1"/>
    <w:rsid w:val="00DB0099"/>
    <w:rsid w:val="00DB02C6"/>
    <w:rsid w:val="00DB0A2C"/>
    <w:rsid w:val="00DB21CF"/>
    <w:rsid w:val="00DB2984"/>
    <w:rsid w:val="00DB31B4"/>
    <w:rsid w:val="00DB3A43"/>
    <w:rsid w:val="00DB4112"/>
    <w:rsid w:val="00DB5C67"/>
    <w:rsid w:val="00DB6C6E"/>
    <w:rsid w:val="00DC0F1D"/>
    <w:rsid w:val="00DC2730"/>
    <w:rsid w:val="00DC2F9A"/>
    <w:rsid w:val="00DC3FF3"/>
    <w:rsid w:val="00DC4039"/>
    <w:rsid w:val="00DC4BEF"/>
    <w:rsid w:val="00DD0BF4"/>
    <w:rsid w:val="00DD5548"/>
    <w:rsid w:val="00DD751C"/>
    <w:rsid w:val="00DE4373"/>
    <w:rsid w:val="00DE475F"/>
    <w:rsid w:val="00DE62E8"/>
    <w:rsid w:val="00DE7D3C"/>
    <w:rsid w:val="00DF0B2E"/>
    <w:rsid w:val="00DF507C"/>
    <w:rsid w:val="00DF56DA"/>
    <w:rsid w:val="00DF659A"/>
    <w:rsid w:val="00E0088E"/>
    <w:rsid w:val="00E00E2D"/>
    <w:rsid w:val="00E02F41"/>
    <w:rsid w:val="00E03233"/>
    <w:rsid w:val="00E033CE"/>
    <w:rsid w:val="00E05A65"/>
    <w:rsid w:val="00E05BBA"/>
    <w:rsid w:val="00E06DD1"/>
    <w:rsid w:val="00E119AE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FBF"/>
    <w:rsid w:val="00E244B6"/>
    <w:rsid w:val="00E253D4"/>
    <w:rsid w:val="00E27256"/>
    <w:rsid w:val="00E300B7"/>
    <w:rsid w:val="00E31647"/>
    <w:rsid w:val="00E31D96"/>
    <w:rsid w:val="00E32EDB"/>
    <w:rsid w:val="00E33075"/>
    <w:rsid w:val="00E343EE"/>
    <w:rsid w:val="00E3531E"/>
    <w:rsid w:val="00E41DA0"/>
    <w:rsid w:val="00E42211"/>
    <w:rsid w:val="00E43180"/>
    <w:rsid w:val="00E43997"/>
    <w:rsid w:val="00E45E8E"/>
    <w:rsid w:val="00E46CBB"/>
    <w:rsid w:val="00E471B8"/>
    <w:rsid w:val="00E50C0F"/>
    <w:rsid w:val="00E5301E"/>
    <w:rsid w:val="00E53CAC"/>
    <w:rsid w:val="00E62DE3"/>
    <w:rsid w:val="00E62ECE"/>
    <w:rsid w:val="00E63933"/>
    <w:rsid w:val="00E64C51"/>
    <w:rsid w:val="00E65DB7"/>
    <w:rsid w:val="00E66208"/>
    <w:rsid w:val="00E67139"/>
    <w:rsid w:val="00E671E9"/>
    <w:rsid w:val="00E70EF8"/>
    <w:rsid w:val="00E725C6"/>
    <w:rsid w:val="00E728AE"/>
    <w:rsid w:val="00E72EB0"/>
    <w:rsid w:val="00E74084"/>
    <w:rsid w:val="00E74E4C"/>
    <w:rsid w:val="00E755E4"/>
    <w:rsid w:val="00E75F93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96D"/>
    <w:rsid w:val="00E91D56"/>
    <w:rsid w:val="00E9760C"/>
    <w:rsid w:val="00EA06DF"/>
    <w:rsid w:val="00EA2539"/>
    <w:rsid w:val="00EA28F8"/>
    <w:rsid w:val="00EA2C6F"/>
    <w:rsid w:val="00EA3562"/>
    <w:rsid w:val="00EA39AB"/>
    <w:rsid w:val="00EA511E"/>
    <w:rsid w:val="00EB0A72"/>
    <w:rsid w:val="00EB17B2"/>
    <w:rsid w:val="00EB3CF2"/>
    <w:rsid w:val="00EB53DA"/>
    <w:rsid w:val="00EB5F18"/>
    <w:rsid w:val="00EB60B5"/>
    <w:rsid w:val="00EB6450"/>
    <w:rsid w:val="00EB6530"/>
    <w:rsid w:val="00EB7303"/>
    <w:rsid w:val="00EB790B"/>
    <w:rsid w:val="00EC3F65"/>
    <w:rsid w:val="00EC4013"/>
    <w:rsid w:val="00EC447A"/>
    <w:rsid w:val="00EC64D2"/>
    <w:rsid w:val="00EC7253"/>
    <w:rsid w:val="00ED1EEF"/>
    <w:rsid w:val="00ED2574"/>
    <w:rsid w:val="00ED2F93"/>
    <w:rsid w:val="00ED391B"/>
    <w:rsid w:val="00ED3FC5"/>
    <w:rsid w:val="00ED412A"/>
    <w:rsid w:val="00ED4301"/>
    <w:rsid w:val="00ED4A48"/>
    <w:rsid w:val="00ED6CFF"/>
    <w:rsid w:val="00EE2645"/>
    <w:rsid w:val="00EE3254"/>
    <w:rsid w:val="00EE3CB2"/>
    <w:rsid w:val="00EE4CE2"/>
    <w:rsid w:val="00EF0677"/>
    <w:rsid w:val="00EF096D"/>
    <w:rsid w:val="00EF0BC7"/>
    <w:rsid w:val="00EF0DA0"/>
    <w:rsid w:val="00EF17EF"/>
    <w:rsid w:val="00EF36C3"/>
    <w:rsid w:val="00EF3723"/>
    <w:rsid w:val="00EF4354"/>
    <w:rsid w:val="00EF5148"/>
    <w:rsid w:val="00EF7D12"/>
    <w:rsid w:val="00F00046"/>
    <w:rsid w:val="00F0086E"/>
    <w:rsid w:val="00F01E23"/>
    <w:rsid w:val="00F01E4C"/>
    <w:rsid w:val="00F02CC7"/>
    <w:rsid w:val="00F02F8D"/>
    <w:rsid w:val="00F06159"/>
    <w:rsid w:val="00F06355"/>
    <w:rsid w:val="00F12DD3"/>
    <w:rsid w:val="00F12FFD"/>
    <w:rsid w:val="00F14354"/>
    <w:rsid w:val="00F144B6"/>
    <w:rsid w:val="00F14A31"/>
    <w:rsid w:val="00F14C7B"/>
    <w:rsid w:val="00F1529E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36C1"/>
    <w:rsid w:val="00F36143"/>
    <w:rsid w:val="00F3622B"/>
    <w:rsid w:val="00F37403"/>
    <w:rsid w:val="00F37872"/>
    <w:rsid w:val="00F37BE9"/>
    <w:rsid w:val="00F4295A"/>
    <w:rsid w:val="00F42DBE"/>
    <w:rsid w:val="00F436E5"/>
    <w:rsid w:val="00F4397F"/>
    <w:rsid w:val="00F450F0"/>
    <w:rsid w:val="00F4696D"/>
    <w:rsid w:val="00F46CF7"/>
    <w:rsid w:val="00F47C55"/>
    <w:rsid w:val="00F47FB3"/>
    <w:rsid w:val="00F5040F"/>
    <w:rsid w:val="00F50A96"/>
    <w:rsid w:val="00F52589"/>
    <w:rsid w:val="00F5329E"/>
    <w:rsid w:val="00F53C09"/>
    <w:rsid w:val="00F54E54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0E73"/>
    <w:rsid w:val="00F710A5"/>
    <w:rsid w:val="00F7123D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650"/>
    <w:rsid w:val="00F82706"/>
    <w:rsid w:val="00F82DCC"/>
    <w:rsid w:val="00F8402D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41FC"/>
    <w:rsid w:val="00F95D4B"/>
    <w:rsid w:val="00F96295"/>
    <w:rsid w:val="00F96340"/>
    <w:rsid w:val="00FA09C7"/>
    <w:rsid w:val="00FA211C"/>
    <w:rsid w:val="00FA3AA1"/>
    <w:rsid w:val="00FA6BA9"/>
    <w:rsid w:val="00FA7712"/>
    <w:rsid w:val="00FA7939"/>
    <w:rsid w:val="00FA7D70"/>
    <w:rsid w:val="00FB2274"/>
    <w:rsid w:val="00FB280C"/>
    <w:rsid w:val="00FB3EA3"/>
    <w:rsid w:val="00FB6FD4"/>
    <w:rsid w:val="00FB727C"/>
    <w:rsid w:val="00FB74A3"/>
    <w:rsid w:val="00FC011A"/>
    <w:rsid w:val="00FC140E"/>
    <w:rsid w:val="00FC2B67"/>
    <w:rsid w:val="00FC30CE"/>
    <w:rsid w:val="00FC31EB"/>
    <w:rsid w:val="00FC39FB"/>
    <w:rsid w:val="00FC4729"/>
    <w:rsid w:val="00FC6CD9"/>
    <w:rsid w:val="00FC6D5B"/>
    <w:rsid w:val="00FC7C31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4E95"/>
    <w:rsid w:val="00FE5529"/>
    <w:rsid w:val="00FE6823"/>
    <w:rsid w:val="00FF063F"/>
    <w:rsid w:val="00FF1F68"/>
    <w:rsid w:val="00FF445C"/>
    <w:rsid w:val="00FF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EF7D6A"/>
  <w15:docId w15:val="{059A8212-5C36-41FA-A9FD-0EB81DDE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FA771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30">
    <w:name w:val="標題 3 字元"/>
    <w:basedOn w:val="a0"/>
    <w:link w:val="3"/>
    <w:semiHidden/>
    <w:rsid w:val="00FA7712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styleId="af1">
    <w:name w:val="Subtitle"/>
    <w:basedOn w:val="a"/>
    <w:next w:val="a"/>
    <w:link w:val="af2"/>
    <w:uiPriority w:val="11"/>
    <w:qFormat/>
    <w:locked/>
    <w:rsid w:val="00322343"/>
    <w:pPr>
      <w:spacing w:after="60"/>
      <w:jc w:val="center"/>
      <w:outlineLvl w:val="1"/>
    </w:pPr>
    <w:rPr>
      <w:rFonts w:asciiTheme="majorHAnsi" w:hAnsiTheme="majorHAnsi" w:cstheme="majorBidi"/>
      <w:i/>
      <w:iCs/>
      <w:szCs w:val="24"/>
    </w:rPr>
  </w:style>
  <w:style w:type="character" w:customStyle="1" w:styleId="af2">
    <w:name w:val="副標題 字元"/>
    <w:basedOn w:val="a0"/>
    <w:link w:val="af1"/>
    <w:uiPriority w:val="11"/>
    <w:rsid w:val="00322343"/>
    <w:rPr>
      <w:rFonts w:asciiTheme="majorHAnsi" w:hAnsiTheme="majorHAnsi" w:cstheme="majorBidi"/>
      <w:i/>
      <w:iCs/>
      <w:kern w:val="2"/>
      <w:sz w:val="24"/>
      <w:szCs w:val="24"/>
    </w:rPr>
  </w:style>
  <w:style w:type="character" w:styleId="af3">
    <w:name w:val="footnote reference"/>
    <w:basedOn w:val="a0"/>
    <w:uiPriority w:val="99"/>
    <w:semiHidden/>
    <w:unhideWhenUsed/>
    <w:rsid w:val="00322343"/>
    <w:rPr>
      <w:vertAlign w:val="superscript"/>
    </w:rPr>
  </w:style>
  <w:style w:type="character" w:styleId="af4">
    <w:name w:val="Placeholder Text"/>
    <w:basedOn w:val="a0"/>
    <w:uiPriority w:val="99"/>
    <w:semiHidden/>
    <w:rsid w:val="00CE48C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2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6ED247-FA3F-4A15-BB97-C3C20A2F5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394</TotalTime>
  <Pages>3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林于珊</cp:lastModifiedBy>
  <cp:revision>190</cp:revision>
  <cp:lastPrinted>2020-09-22T08:40:00Z</cp:lastPrinted>
  <dcterms:created xsi:type="dcterms:W3CDTF">2020-09-18T09:00:00Z</dcterms:created>
  <dcterms:modified xsi:type="dcterms:W3CDTF">2020-09-22T09:08:00Z</dcterms:modified>
</cp:coreProperties>
</file>